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600" w:lineRule="exact"/>
        <w:ind w:firstLine="0" w:firstLineChars="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附件2</w:t>
      </w:r>
    </w:p>
    <w:p>
      <w:pPr>
        <w:pStyle w:val="5"/>
        <w:spacing w:line="600" w:lineRule="exact"/>
        <w:ind w:firstLine="0" w:firstLineChars="0"/>
        <w:rPr>
          <w:rFonts w:ascii="方正小标宋简体" w:hAnsi="方正小标宋简体" w:eastAsia="方正小标宋简体" w:cs="宋体"/>
          <w:bCs/>
          <w:sz w:val="44"/>
          <w:szCs w:val="44"/>
        </w:rPr>
      </w:pPr>
    </w:p>
    <w:p>
      <w:pPr>
        <w:pStyle w:val="5"/>
        <w:spacing w:line="600" w:lineRule="exact"/>
        <w:ind w:firstLine="0" w:firstLineChars="0"/>
        <w:jc w:val="center"/>
        <w:rPr>
          <w:rFonts w:ascii="方正小标宋简体" w:hAnsi="方正小标宋简体" w:eastAsia="方正小标宋简体" w:cs="宋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宋体"/>
          <w:bCs/>
          <w:sz w:val="44"/>
          <w:szCs w:val="44"/>
        </w:rPr>
        <w:t>“第十届药物毒理学年会”会议报告</w:t>
      </w:r>
    </w:p>
    <w:bookmarkEnd w:id="0"/>
    <w:p>
      <w:pPr>
        <w:pStyle w:val="5"/>
        <w:spacing w:line="600" w:lineRule="exact"/>
        <w:ind w:left="420" w:leftChars="200" w:firstLine="0" w:firstLineChars="0"/>
        <w:rPr>
          <w:rFonts w:ascii="方正小标宋简体" w:hAnsi="方正小标宋简体" w:eastAsia="方正小标宋简体" w:cs="宋体"/>
          <w:bCs/>
          <w:sz w:val="44"/>
          <w:szCs w:val="44"/>
        </w:rPr>
      </w:pPr>
    </w:p>
    <w:p>
      <w:pPr>
        <w:spacing w:line="600" w:lineRule="exact"/>
        <w:ind w:firstLine="736" w:firstLineChars="23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一、特邀报告</w:t>
      </w:r>
    </w:p>
    <w:p>
      <w:pPr>
        <w:spacing w:line="600" w:lineRule="exact"/>
        <w:ind w:firstLine="64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30 分钟/人，特邀报告人为国内外药物毒理学相关领域的著名学者。</w:t>
      </w:r>
    </w:p>
    <w:tbl>
      <w:tblPr>
        <w:tblStyle w:val="3"/>
        <w:tblW w:w="8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8"/>
        <w:gridCol w:w="2268"/>
        <w:gridCol w:w="2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8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5"/>
              <w:spacing w:line="600" w:lineRule="exact"/>
              <w:ind w:firstLine="560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特邀报告演讲题目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演讲人</w:t>
            </w:r>
          </w:p>
        </w:tc>
        <w:tc>
          <w:tcPr>
            <w:tcW w:w="2406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演讲人单位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8" w:type="dxa"/>
            <w:shd w:val="clear" w:color="auto" w:fill="FFFFFF" w:themeFill="background1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  <w:t>中药研发的监管科学与中药临床循证医学</w:t>
            </w:r>
          </w:p>
        </w:tc>
        <w:tc>
          <w:tcPr>
            <w:tcW w:w="2268" w:type="dxa"/>
            <w:shd w:val="clear" w:color="auto" w:fill="FFFFFF" w:themeFill="background1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  <w:t>刘昌孝院士</w:t>
            </w:r>
          </w:p>
        </w:tc>
        <w:tc>
          <w:tcPr>
            <w:tcW w:w="2406" w:type="dxa"/>
            <w:shd w:val="clear" w:color="auto" w:fill="FFFFFF" w:themeFill="background1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  <w:t>天津药物研究院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3828" w:type="dxa"/>
            <w:shd w:val="clear" w:color="auto" w:fill="FFFFFF" w:themeFill="background1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  <w:t>乌头汤及其化裁方活性成分和作用靶点的分析技术与方法</w:t>
            </w:r>
          </w:p>
        </w:tc>
        <w:tc>
          <w:tcPr>
            <w:tcW w:w="2268" w:type="dxa"/>
            <w:shd w:val="clear" w:color="auto" w:fill="FFFFFF" w:themeFill="background1"/>
          </w:tcPr>
          <w:p>
            <w:pPr>
              <w:adjustRightInd w:val="0"/>
              <w:snapToGrid w:val="0"/>
              <w:spacing w:after="210" w:line="600" w:lineRule="exact"/>
              <w:jc w:val="left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  <w:t>刘良院士</w:t>
            </w:r>
          </w:p>
        </w:tc>
        <w:tc>
          <w:tcPr>
            <w:tcW w:w="2406" w:type="dxa"/>
            <w:shd w:val="clear" w:color="auto" w:fill="FFFFFF" w:themeFill="background1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  <w:t>澳门科技大学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8" w:type="dxa"/>
          </w:tcPr>
          <w:p>
            <w:pPr>
              <w:spacing w:line="600" w:lineRule="exact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4"/>
              </w:rPr>
              <w:t>《国家药监局关于促进中药传承创新的实施意见》政策解读</w:t>
            </w:r>
          </w:p>
        </w:tc>
        <w:tc>
          <w:tcPr>
            <w:tcW w:w="2268" w:type="dxa"/>
          </w:tcPr>
          <w:p>
            <w:pPr>
              <w:spacing w:line="600" w:lineRule="exact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4"/>
              </w:rPr>
              <w:t>注册司专家</w:t>
            </w:r>
          </w:p>
        </w:tc>
        <w:tc>
          <w:tcPr>
            <w:tcW w:w="2406" w:type="dxa"/>
          </w:tcPr>
          <w:p>
            <w:pPr>
              <w:spacing w:line="600" w:lineRule="exact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4"/>
              </w:rPr>
              <w:t>国家药监局药品注册司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8" w:type="dxa"/>
          </w:tcPr>
          <w:p>
            <w:pPr>
              <w:spacing w:line="600" w:lineRule="exact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4"/>
              </w:rPr>
              <w:t>药物杂质控制中的安全性评价策略探讨</w:t>
            </w:r>
          </w:p>
        </w:tc>
        <w:tc>
          <w:tcPr>
            <w:tcW w:w="2268" w:type="dxa"/>
          </w:tcPr>
          <w:p>
            <w:pPr>
              <w:spacing w:line="600" w:lineRule="exact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4"/>
              </w:rPr>
              <w:t>药品审评中心专家</w:t>
            </w:r>
          </w:p>
        </w:tc>
        <w:tc>
          <w:tcPr>
            <w:tcW w:w="2406" w:type="dxa"/>
          </w:tcPr>
          <w:p>
            <w:pPr>
              <w:spacing w:line="600" w:lineRule="exact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4"/>
              </w:rPr>
              <w:t>国家药品审评中心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8" w:type="dxa"/>
          </w:tcPr>
          <w:p>
            <w:pPr>
              <w:spacing w:line="600" w:lineRule="exact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4"/>
              </w:rPr>
              <w:t>我国新药研究评价的非临床风险管控</w:t>
            </w:r>
          </w:p>
        </w:tc>
        <w:tc>
          <w:tcPr>
            <w:tcW w:w="2268" w:type="dxa"/>
          </w:tcPr>
          <w:p>
            <w:pPr>
              <w:spacing w:line="600" w:lineRule="exact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4"/>
              </w:rPr>
              <w:t>药品审评中心专家</w:t>
            </w:r>
          </w:p>
        </w:tc>
        <w:tc>
          <w:tcPr>
            <w:tcW w:w="2406" w:type="dxa"/>
          </w:tcPr>
          <w:p>
            <w:pPr>
              <w:spacing w:line="600" w:lineRule="exact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4"/>
              </w:rPr>
              <w:t>国家药品审评中心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8" w:type="dxa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  <w:t>中药毒性基础研究策略</w:t>
            </w:r>
          </w:p>
        </w:tc>
        <w:tc>
          <w:tcPr>
            <w:tcW w:w="2268" w:type="dxa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  <w:t>高月研究员</w:t>
            </w:r>
          </w:p>
        </w:tc>
        <w:tc>
          <w:tcPr>
            <w:tcW w:w="2406" w:type="dxa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  <w:t>军事医学研究院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8" w:type="dxa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4"/>
              </w:rPr>
              <w:t>寡核苷酸药物非临床研究评价</w:t>
            </w:r>
          </w:p>
        </w:tc>
        <w:tc>
          <w:tcPr>
            <w:tcW w:w="2268" w:type="dxa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4"/>
              </w:rPr>
              <w:t>岑小波研究员</w:t>
            </w:r>
          </w:p>
        </w:tc>
        <w:tc>
          <w:tcPr>
            <w:tcW w:w="2406" w:type="dxa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4"/>
              </w:rPr>
              <w:t>国家成都新药安全性评价中心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8" w:type="dxa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QT\QTc间期延长及心律失常的非临床和临床研究-ICH E14/S7B工作组讨论纲要</w:t>
            </w:r>
          </w:p>
        </w:tc>
        <w:tc>
          <w:tcPr>
            <w:tcW w:w="2268" w:type="dxa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汪巨峰研究员</w:t>
            </w:r>
          </w:p>
        </w:tc>
        <w:tc>
          <w:tcPr>
            <w:tcW w:w="2406" w:type="dxa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康龙化成（北京）</w:t>
            </w: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新药</w:t>
            </w: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8" w:type="dxa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  <w:t>纳米药物的非临床安全性评价研究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4"/>
              </w:rPr>
              <w:t>策略</w:t>
            </w:r>
          </w:p>
        </w:tc>
        <w:tc>
          <w:tcPr>
            <w:tcW w:w="2268" w:type="dxa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  <w:t>耿兴超研究员</w:t>
            </w:r>
          </w:p>
        </w:tc>
        <w:tc>
          <w:tcPr>
            <w:tcW w:w="2406" w:type="dxa"/>
          </w:tcPr>
          <w:p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8" w:type="dxa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4"/>
              </w:rPr>
              <w:t>QA不仅是GLP合规-现代医药研发对质量保证在科学性上的支持需求</w:t>
            </w:r>
          </w:p>
        </w:tc>
        <w:tc>
          <w:tcPr>
            <w:tcW w:w="2268" w:type="dxa"/>
          </w:tcPr>
          <w:p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4"/>
              </w:rPr>
              <w:t>金毅</w:t>
            </w: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  <w:t>研究员</w:t>
            </w:r>
          </w:p>
        </w:tc>
        <w:tc>
          <w:tcPr>
            <w:tcW w:w="2406" w:type="dxa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4"/>
              </w:rPr>
              <w:t>中国科学院上海药物研究所华南安评中心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8" w:type="dxa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  <w:t>多壁碳纳米管致癌性及其作用机制的研究</w:t>
            </w:r>
          </w:p>
        </w:tc>
        <w:tc>
          <w:tcPr>
            <w:tcW w:w="2268" w:type="dxa"/>
          </w:tcPr>
          <w:p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  <w:t>朱江波研究员</w:t>
            </w:r>
          </w:p>
        </w:tc>
        <w:tc>
          <w:tcPr>
            <w:tcW w:w="2406" w:type="dxa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  <w:t>海军军医大学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4"/>
              </w:rPr>
              <w:t>药物安全性评价中心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8" w:type="dxa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  <w:t>全面解析ICH S5（R3）及其对我国药物生殖与发育毒性研究的影响</w:t>
            </w:r>
          </w:p>
        </w:tc>
        <w:tc>
          <w:tcPr>
            <w:tcW w:w="2268" w:type="dxa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  <w:t>周莉研究员</w:t>
            </w:r>
          </w:p>
        </w:tc>
        <w:tc>
          <w:tcPr>
            <w:tcW w:w="2406" w:type="dxa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  <w:t>上海市计划生育科学研究所</w:t>
            </w:r>
          </w:p>
        </w:tc>
      </w:tr>
    </w:tbl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二、分会场报告</w:t>
      </w:r>
    </w:p>
    <w:p>
      <w:pPr>
        <w:spacing w:line="60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20 分钟/人（含报告15 分钟，提问5分钟</w:t>
      </w:r>
      <w:r>
        <w:rPr>
          <w:rFonts w:hint="eastAsia" w:ascii="仿宋" w:hAnsi="仿宋" w:eastAsia="仿宋" w:cs="仿宋"/>
          <w:sz w:val="32"/>
          <w:szCs w:val="32"/>
        </w:rPr>
        <w:t>），请在论文投稿时注明“参加分会场报告”，经学术委员会审议通过后，会务组将于</w:t>
      </w:r>
      <w:r>
        <w:rPr>
          <w:rFonts w:hint="eastAsia" w:ascii="Times New Roman" w:hAnsi="Times New Roman" w:eastAsia="仿宋" w:cs="Times New Roman"/>
          <w:sz w:val="32"/>
          <w:szCs w:val="32"/>
        </w:rPr>
        <w:t>2021年4月30日之前</w:t>
      </w:r>
      <w:r>
        <w:rPr>
          <w:rFonts w:hint="eastAsia" w:ascii="仿宋" w:hAnsi="仿宋" w:eastAsia="仿宋" w:cs="仿宋"/>
          <w:sz w:val="32"/>
          <w:szCs w:val="32"/>
        </w:rPr>
        <w:t>以电子邮件通知报告人。</w:t>
      </w:r>
    </w:p>
    <w:p>
      <w:pPr>
        <w:pStyle w:val="5"/>
        <w:spacing w:line="60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三、青年论文报告</w:t>
      </w:r>
    </w:p>
    <w:p>
      <w:pPr>
        <w:spacing w:line="60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20分钟/人（含报告15 分钟，提问5</w:t>
      </w:r>
      <w:r>
        <w:rPr>
          <w:rFonts w:hint="eastAsia" w:ascii="仿宋" w:hAnsi="仿宋" w:eastAsia="仿宋" w:cs="仿宋"/>
          <w:sz w:val="32"/>
          <w:szCs w:val="32"/>
        </w:rPr>
        <w:t>分钟），经学术委员会审议通过后，会务组将</w:t>
      </w:r>
      <w:r>
        <w:rPr>
          <w:rFonts w:hint="eastAsia" w:ascii="Times New Roman" w:hAnsi="Times New Roman" w:eastAsia="仿宋" w:cs="Times New Roman"/>
          <w:sz w:val="32"/>
          <w:szCs w:val="32"/>
        </w:rPr>
        <w:t>于2021年4月30日之前</w:t>
      </w:r>
      <w:r>
        <w:rPr>
          <w:rFonts w:hint="eastAsia" w:ascii="仿宋" w:hAnsi="仿宋" w:eastAsia="仿宋" w:cs="仿宋"/>
          <w:sz w:val="32"/>
          <w:szCs w:val="32"/>
        </w:rPr>
        <w:t>以电子邮件通知报告人。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提示：会务组提供多媒体投影仪，请大会报告、分会场报告和青年论文报告代表准</w:t>
      </w:r>
      <w:r>
        <w:rPr>
          <w:rFonts w:hint="eastAsia" w:ascii="Times New Roman" w:hAnsi="Times New Roman" w:eastAsia="仿宋" w:cs="Times New Roman"/>
          <w:sz w:val="32"/>
          <w:szCs w:val="32"/>
        </w:rPr>
        <w:t>备好PPT文件，在报</w:t>
      </w:r>
      <w:r>
        <w:rPr>
          <w:rFonts w:hint="eastAsia" w:ascii="仿宋" w:hAnsi="仿宋" w:eastAsia="仿宋" w:cs="仿宋"/>
          <w:sz w:val="32"/>
          <w:szCs w:val="32"/>
        </w:rPr>
        <w:t>到当天提前拷贝至会务组电脑中。</w:t>
      </w:r>
    </w:p>
    <w:p/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64E80"/>
    <w:rsid w:val="07481A93"/>
    <w:rsid w:val="5D95731E"/>
    <w:rsid w:val="78B6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2021-03-11T05:47:00Z</dcterms:created>
  <dc:creator>徐静</dc:creator>
  <cp:lastModifiedBy>徐静</cp:lastModifiedBy>
  <dcterms:modified xsi:type="dcterms:W3CDTF">2021-03-11T05:48:07Z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