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 w:hAnsi="仿宋" w:eastAsia="仿宋"/>
          <w:b/>
          <w:color w:val="auto"/>
          <w:sz w:val="30"/>
          <w:szCs w:val="30"/>
        </w:rPr>
      </w:pPr>
    </w:p>
    <w:tbl>
      <w:tblPr>
        <w:tblStyle w:val="12"/>
        <w:tblW w:w="9640" w:type="dxa"/>
        <w:tblInd w:w="-652" w:type="dxa"/>
        <w:tblLayout w:type="fixed"/>
        <w:tblCellMar>
          <w:top w:w="0" w:type="dxa"/>
          <w:left w:w="0" w:type="dxa"/>
          <w:bottom w:w="0" w:type="dxa"/>
          <w:right w:w="0" w:type="dxa"/>
        </w:tblCellMar>
      </w:tblPr>
      <w:tblGrid>
        <w:gridCol w:w="454"/>
        <w:gridCol w:w="283"/>
        <w:gridCol w:w="2042"/>
        <w:gridCol w:w="453"/>
        <w:gridCol w:w="1134"/>
        <w:gridCol w:w="5124"/>
        <w:gridCol w:w="150"/>
      </w:tblGrid>
      <w:tr>
        <w:tblPrEx>
          <w:tblCellMar>
            <w:top w:w="0" w:type="dxa"/>
            <w:left w:w="0" w:type="dxa"/>
            <w:bottom w:w="0" w:type="dxa"/>
            <w:right w:w="0" w:type="dxa"/>
          </w:tblCellMar>
        </w:tblPrEx>
        <w:trPr>
          <w:gridAfter w:val="4"/>
          <w:wAfter w:w="6861" w:type="dxa"/>
          <w:trHeight w:val="312" w:hRule="exact"/>
        </w:trPr>
        <w:tc>
          <w:tcPr>
            <w:tcW w:w="454" w:type="dxa"/>
            <w:vAlign w:val="center"/>
          </w:tcPr>
          <w:p>
            <w:pPr>
              <w:rPr>
                <w:rFonts w:ascii="Times New Roman" w:hAnsi="Times New Roman" w:eastAsia="黑体" w:cs="Times New Roman"/>
                <w:b/>
                <w:color w:val="auto"/>
                <w:szCs w:val="20"/>
              </w:rPr>
            </w:pPr>
            <w:r>
              <w:rPr>
                <w:rFonts w:ascii="Times New Roman" w:hAnsi="Times New Roman" w:eastAsia="黑体" w:cs="Times New Roman"/>
                <w:b/>
                <w:szCs w:val="20"/>
              </w:rPr>
              <w:t>ICS</w:t>
            </w:r>
          </w:p>
        </w:tc>
        <w:tc>
          <w:tcPr>
            <w:tcW w:w="2325" w:type="dxa"/>
            <w:gridSpan w:val="2"/>
            <w:vAlign w:val="center"/>
          </w:tcPr>
          <w:p>
            <w:pPr>
              <w:jc w:val="left"/>
              <w:textAlignment w:val="center"/>
              <w:rPr>
                <w:rFonts w:ascii="黑体" w:hAnsi="黑体" w:eastAsia="黑体" w:cs="Times New Roman"/>
                <w:kern w:val="0"/>
                <w:szCs w:val="20"/>
              </w:rPr>
            </w:pPr>
            <w:r>
              <w:rPr>
                <w:rFonts w:hint="eastAsia" w:ascii="黑体" w:hAnsi="黑体" w:eastAsia="黑体" w:cs="Times New Roman"/>
                <w:color w:val="548DD4" w:themeColor="text2" w:themeTint="99"/>
                <w:spacing w:val="10"/>
                <w:szCs w:val="20"/>
              </w:rPr>
              <w:drawing>
                <wp:anchor distT="0" distB="0" distL="114300" distR="114300" simplePos="0" relativeHeight="251663360" behindDoc="0" locked="0" layoutInCell="1" allowOverlap="1">
                  <wp:simplePos x="0" y="0"/>
                  <wp:positionH relativeFrom="column">
                    <wp:posOffset>4218305</wp:posOffset>
                  </wp:positionH>
                  <wp:positionV relativeFrom="paragraph">
                    <wp:posOffset>22860</wp:posOffset>
                  </wp:positionV>
                  <wp:extent cx="1242695" cy="1223645"/>
                  <wp:effectExtent l="0" t="0" r="1905" b="8255"/>
                  <wp:wrapNone/>
                  <wp:docPr id="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9"/>
                          <pic:cNvPicPr>
                            <a:picLocks noChangeAspect="1" noChangeArrowheads="1"/>
                          </pic:cNvPicPr>
                        </pic:nvPicPr>
                        <pic:blipFill>
                          <a:blip r:embed="rId10" cstate="print"/>
                          <a:srcRect/>
                          <a:stretch>
                            <a:fillRect/>
                          </a:stretch>
                        </pic:blipFill>
                        <pic:spPr>
                          <a:xfrm>
                            <a:off x="0" y="0"/>
                            <a:ext cx="1242695" cy="1223645"/>
                          </a:xfrm>
                          <a:prstGeom prst="rect">
                            <a:avLst/>
                          </a:prstGeom>
                          <a:noFill/>
                          <a:ln w="9525">
                            <a:noFill/>
                            <a:miter lim="800000"/>
                            <a:headEnd/>
                            <a:tailEnd/>
                          </a:ln>
                        </pic:spPr>
                      </pic:pic>
                    </a:graphicData>
                  </a:graphic>
                </wp:anchor>
              </w:drawing>
            </w:r>
            <w:r>
              <w:rPr>
                <w:rFonts w:hint="eastAsia" w:ascii="黑体" w:hAnsi="黑体" w:eastAsia="黑体" w:cs="Times New Roman"/>
                <w:color w:val="548DD4" w:themeColor="text2" w:themeTint="99"/>
                <w:spacing w:val="10"/>
                <w:szCs w:val="20"/>
              </w:rPr>
              <w:t>**.***.**</w:t>
            </w:r>
          </w:p>
          <w:p>
            <w:pPr>
              <w:rPr>
                <w:rFonts w:ascii="黑体" w:hAnsi="黑体" w:eastAsia="黑体" w:cs="Times New Roman"/>
                <w:color w:val="auto"/>
                <w:szCs w:val="20"/>
              </w:rPr>
            </w:pPr>
          </w:p>
        </w:tc>
      </w:tr>
      <w:tr>
        <w:tblPrEx>
          <w:tblCellMar>
            <w:top w:w="0" w:type="dxa"/>
            <w:left w:w="0" w:type="dxa"/>
            <w:bottom w:w="0" w:type="dxa"/>
            <w:right w:w="0" w:type="dxa"/>
          </w:tblCellMar>
        </w:tblPrEx>
        <w:trPr>
          <w:gridAfter w:val="4"/>
          <w:wAfter w:w="6861" w:type="dxa"/>
          <w:trHeight w:val="312" w:hRule="exact"/>
        </w:trPr>
        <w:tc>
          <w:tcPr>
            <w:tcW w:w="737" w:type="dxa"/>
            <w:gridSpan w:val="2"/>
            <w:vAlign w:val="center"/>
          </w:tcPr>
          <w:p>
            <w:pPr>
              <w:ind w:right="-170" w:rightChars="0"/>
              <w:rPr>
                <w:rFonts w:hint="default" w:ascii="黑体" w:hAnsi="黑体" w:eastAsia="黑体" w:cs="Times New Roman"/>
                <w:color w:val="auto"/>
                <w:szCs w:val="20"/>
                <w:lang w:val="en-US" w:eastAsia="zh-CN"/>
              </w:rPr>
            </w:pPr>
            <w:r>
              <w:rPr>
                <w:rFonts w:ascii="Times New Roman" w:hAnsi="Times New Roman" w:eastAsia="黑体" w:cs="Times New Roman"/>
                <w:b/>
                <w:szCs w:val="20"/>
              </w:rPr>
              <w:t>C</w:t>
            </w:r>
            <w:r>
              <w:rPr>
                <w:rFonts w:hint="eastAsia" w:ascii="黑体" w:hAnsi="黑体" w:eastAsia="黑体" w:cs="Times New Roman"/>
                <w:color w:val="548DD4" w:themeColor="text2" w:themeTint="99"/>
                <w:spacing w:val="10"/>
                <w:szCs w:val="20"/>
              </w:rPr>
              <w:t>**</w:t>
            </w:r>
          </w:p>
        </w:tc>
        <w:tc>
          <w:tcPr>
            <w:tcW w:w="2042" w:type="dxa"/>
            <w:vAlign w:val="center"/>
          </w:tcPr>
          <w:p>
            <w:pPr>
              <w:rPr>
                <w:rFonts w:ascii="Times New Roman" w:hAnsi="Times New Roman" w:eastAsia="黑体" w:cs="Times New Roman"/>
                <w:color w:val="auto"/>
                <w:szCs w:val="20"/>
              </w:rPr>
            </w:pPr>
          </w:p>
        </w:tc>
      </w:tr>
      <w:tr>
        <w:tblPrEx>
          <w:tblCellMar>
            <w:top w:w="0" w:type="dxa"/>
            <w:left w:w="0" w:type="dxa"/>
            <w:bottom w:w="0" w:type="dxa"/>
            <w:right w:w="0" w:type="dxa"/>
          </w:tblCellMar>
        </w:tblPrEx>
        <w:trPr>
          <w:gridAfter w:val="4"/>
          <w:wAfter w:w="6861" w:type="dxa"/>
          <w:trHeight w:val="312" w:hRule="exact"/>
        </w:trPr>
        <w:tc>
          <w:tcPr>
            <w:tcW w:w="737" w:type="dxa"/>
            <w:gridSpan w:val="2"/>
            <w:vAlign w:val="center"/>
          </w:tcPr>
          <w:p>
            <w:pPr>
              <w:ind w:right="-170"/>
              <w:rPr>
                <w:rFonts w:ascii="Times New Roman" w:hAnsi="Times New Roman" w:eastAsia="黑体" w:cs="Times New Roman"/>
                <w:color w:val="auto"/>
                <w:szCs w:val="20"/>
              </w:rPr>
            </w:pPr>
          </w:p>
        </w:tc>
        <w:tc>
          <w:tcPr>
            <w:tcW w:w="2042" w:type="dxa"/>
            <w:vAlign w:val="center"/>
          </w:tcPr>
          <w:p>
            <w:pPr>
              <w:ind w:left="57"/>
              <w:rPr>
                <w:rFonts w:ascii="Arial Narrow" w:hAnsi="Arial Narrow" w:eastAsia="黑体" w:cs="Times New Roman"/>
                <w:color w:val="auto"/>
                <w:szCs w:val="20"/>
              </w:rPr>
            </w:pPr>
          </w:p>
        </w:tc>
      </w:tr>
      <w:tr>
        <w:tblPrEx>
          <w:tblCellMar>
            <w:top w:w="0" w:type="dxa"/>
            <w:left w:w="0" w:type="dxa"/>
            <w:bottom w:w="0" w:type="dxa"/>
            <w:right w:w="0" w:type="dxa"/>
          </w:tblCellMar>
        </w:tblPrEx>
        <w:trPr>
          <w:gridAfter w:val="4"/>
          <w:wAfter w:w="6861" w:type="dxa"/>
          <w:trHeight w:val="312" w:hRule="exact"/>
        </w:trPr>
        <w:tc>
          <w:tcPr>
            <w:tcW w:w="737" w:type="dxa"/>
            <w:gridSpan w:val="2"/>
            <w:vAlign w:val="center"/>
          </w:tcPr>
          <w:p>
            <w:pPr>
              <w:ind w:right="-170"/>
              <w:rPr>
                <w:rFonts w:ascii="Times New Roman" w:hAnsi="Times New Roman" w:eastAsia="黑体" w:cs="Times New Roman"/>
                <w:i/>
                <w:color w:val="auto"/>
                <w:szCs w:val="20"/>
              </w:rPr>
            </w:pPr>
          </w:p>
        </w:tc>
        <w:tc>
          <w:tcPr>
            <w:tcW w:w="2042" w:type="dxa"/>
            <w:vAlign w:val="center"/>
          </w:tcPr>
          <w:p>
            <w:pPr>
              <w:ind w:left="57"/>
              <w:rPr>
                <w:rFonts w:ascii="Arial Narrow" w:hAnsi="Arial Narrow" w:eastAsia="黑体" w:cs="Times New Roman"/>
                <w:i/>
                <w:color w:val="auto"/>
                <w:szCs w:val="20"/>
              </w:rPr>
            </w:pPr>
          </w:p>
        </w:tc>
      </w:tr>
      <w:tr>
        <w:tblPrEx>
          <w:tblCellMar>
            <w:top w:w="0" w:type="dxa"/>
            <w:left w:w="0" w:type="dxa"/>
            <w:bottom w:w="0" w:type="dxa"/>
            <w:right w:w="0" w:type="dxa"/>
          </w:tblCellMar>
        </w:tblPrEx>
        <w:trPr>
          <w:trHeight w:val="368" w:hRule="exact"/>
        </w:trPr>
        <w:tc>
          <w:tcPr>
            <w:tcW w:w="9640" w:type="dxa"/>
            <w:gridSpan w:val="7"/>
          </w:tcPr>
          <w:p>
            <w:pPr>
              <w:spacing w:before="120" w:after="120"/>
              <w:rPr>
                <w:rFonts w:ascii="Times New Roman" w:hAnsi="Times New Roman" w:eastAsia="宋体" w:cs="Times New Roman"/>
                <w:color w:val="auto"/>
                <w:szCs w:val="20"/>
              </w:rPr>
            </w:pPr>
          </w:p>
        </w:tc>
      </w:tr>
      <w:tr>
        <w:tblPrEx>
          <w:tblCellMar>
            <w:top w:w="0" w:type="dxa"/>
            <w:left w:w="0" w:type="dxa"/>
            <w:bottom w:w="0" w:type="dxa"/>
            <w:right w:w="0" w:type="dxa"/>
          </w:tblCellMar>
        </w:tblPrEx>
        <w:trPr>
          <w:trHeight w:val="120" w:hRule="exact"/>
        </w:trPr>
        <w:tc>
          <w:tcPr>
            <w:tcW w:w="9640" w:type="dxa"/>
            <w:gridSpan w:val="7"/>
          </w:tcPr>
          <w:p>
            <w:pPr>
              <w:spacing w:before="120" w:after="120"/>
              <w:rPr>
                <w:rFonts w:ascii="Times New Roman" w:hAnsi="Times New Roman" w:eastAsia="宋体" w:cs="Times New Roman"/>
                <w:color w:val="auto"/>
                <w:szCs w:val="20"/>
              </w:rPr>
            </w:pPr>
          </w:p>
        </w:tc>
      </w:tr>
      <w:tr>
        <w:tblPrEx>
          <w:tblCellMar>
            <w:top w:w="0" w:type="dxa"/>
            <w:left w:w="0" w:type="dxa"/>
            <w:bottom w:w="0" w:type="dxa"/>
            <w:right w:w="0" w:type="dxa"/>
          </w:tblCellMar>
        </w:tblPrEx>
        <w:trPr>
          <w:trHeight w:val="518" w:hRule="exact"/>
        </w:trPr>
        <w:tc>
          <w:tcPr>
            <w:tcW w:w="9640" w:type="dxa"/>
            <w:gridSpan w:val="7"/>
          </w:tcPr>
          <w:p>
            <w:pPr>
              <w:spacing w:before="120" w:after="120"/>
              <w:rPr>
                <w:rFonts w:ascii="Times New Roman" w:hAnsi="Times New Roman" w:eastAsia="宋体" w:cs="Times New Roman"/>
                <w:color w:val="auto"/>
                <w:szCs w:val="20"/>
              </w:rPr>
            </w:pPr>
          </w:p>
        </w:tc>
      </w:tr>
      <w:tr>
        <w:tblPrEx>
          <w:tblCellMar>
            <w:top w:w="0" w:type="dxa"/>
            <w:left w:w="0" w:type="dxa"/>
            <w:bottom w:w="0" w:type="dxa"/>
            <w:right w:w="0" w:type="dxa"/>
          </w:tblCellMar>
        </w:tblPrEx>
        <w:trPr>
          <w:trHeight w:val="722" w:hRule="exact"/>
        </w:trPr>
        <w:tc>
          <w:tcPr>
            <w:tcW w:w="9640" w:type="dxa"/>
            <w:gridSpan w:val="7"/>
            <w:vAlign w:val="center"/>
          </w:tcPr>
          <w:p>
            <w:pPr>
              <w:spacing w:after="240" w:line="560" w:lineRule="exact"/>
              <w:ind w:right="28"/>
              <w:jc w:val="center"/>
              <w:rPr>
                <w:rFonts w:ascii="Times New Roman" w:hAnsi="Times New Roman" w:eastAsia="黑体" w:cs="Times New Roman"/>
                <w:color w:val="auto"/>
                <w:w w:val="140"/>
                <w:sz w:val="52"/>
                <w:szCs w:val="20"/>
              </w:rPr>
            </w:pPr>
            <w:r>
              <w:rPr>
                <w:rFonts w:hint="eastAsia" w:ascii="Times New Roman" w:hAnsi="Times New Roman" w:eastAsia="黑体" w:cs="Times New Roman"/>
                <w:color w:val="auto"/>
                <w:w w:val="140"/>
                <w:sz w:val="52"/>
                <w:szCs w:val="20"/>
              </w:rPr>
              <w:t>团体标准</w:t>
            </w:r>
          </w:p>
          <w:p>
            <w:pPr>
              <w:spacing w:line="520" w:lineRule="exact"/>
              <w:rPr>
                <w:rFonts w:ascii="Times New Roman" w:hAnsi="Times New Roman" w:eastAsia="宋体" w:cs="Times New Roman"/>
                <w:color w:val="auto"/>
                <w:w w:val="140"/>
                <w:sz w:val="52"/>
                <w:szCs w:val="20"/>
              </w:rPr>
            </w:pPr>
          </w:p>
        </w:tc>
      </w:tr>
      <w:tr>
        <w:tblPrEx>
          <w:tblCellMar>
            <w:top w:w="0" w:type="dxa"/>
            <w:left w:w="0" w:type="dxa"/>
            <w:bottom w:w="0" w:type="dxa"/>
            <w:right w:w="0" w:type="dxa"/>
          </w:tblCellMar>
        </w:tblPrEx>
        <w:trPr>
          <w:trHeight w:val="1323" w:hRule="exact"/>
        </w:trPr>
        <w:tc>
          <w:tcPr>
            <w:tcW w:w="9640" w:type="dxa"/>
            <w:gridSpan w:val="7"/>
          </w:tcPr>
          <w:p>
            <w:pPr>
              <w:widowControl/>
              <w:spacing w:before="357" w:line="280" w:lineRule="exact"/>
              <w:jc w:val="right"/>
              <w:rPr>
                <w:rFonts w:ascii="黑体" w:hAnsi="黑体" w:eastAsia="黑体" w:cs="Times New Roman"/>
                <w:color w:val="auto"/>
                <w:kern w:val="0"/>
                <w:sz w:val="28"/>
                <w:szCs w:val="28"/>
              </w:rPr>
            </w:pPr>
            <w:r>
              <w:rPr>
                <w:rFonts w:ascii="黑体" w:hAnsi="黑体" w:eastAsia="黑体" w:cs="Times New Roman"/>
                <w:color w:val="auto"/>
                <w:kern w:val="0"/>
                <w:sz w:val="28"/>
                <w:szCs w:val="28"/>
              </w:rPr>
              <w:t xml:space="preserve">T/CACM </w:t>
            </w:r>
            <w:r>
              <w:rPr>
                <w:rFonts w:hint="eastAsia" w:ascii="黑体" w:hAnsi="黑体" w:eastAsia="黑体" w:cs="Times New Roman"/>
                <w:color w:val="auto"/>
                <w:kern w:val="0"/>
                <w:sz w:val="28"/>
                <w:szCs w:val="28"/>
              </w:rPr>
              <w:t>****</w:t>
            </w:r>
            <w:r>
              <w:rPr>
                <w:rFonts w:ascii="黑体" w:hAnsi="黑体" w:eastAsia="黑体" w:cs="Times New Roman"/>
                <w:color w:val="auto"/>
                <w:kern w:val="0"/>
                <w:sz w:val="28"/>
                <w:szCs w:val="28"/>
              </w:rPr>
              <w:t>—202*</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widowControl/>
                    <w:wordWrap w:val="0"/>
                    <w:spacing w:before="57" w:line="280" w:lineRule="exact"/>
                    <w:jc w:val="right"/>
                    <w:rPr>
                      <w:rFonts w:ascii="宋体" w:hAnsi="Times New Roman" w:eastAsia="宋体" w:cs="Times New Roman"/>
                      <w:color w:val="auto"/>
                      <w:kern w:val="0"/>
                      <w:szCs w:val="21"/>
                    </w:rPr>
                  </w:pPr>
                  <w:r>
                    <w:rPr>
                      <w:rFonts w:ascii="宋体" w:hAnsi="Times New Roman" w:eastAsia="宋体" w:cs="Times New Roman"/>
                      <w:color w:val="auto"/>
                      <w:kern w:val="0"/>
                      <w:szCs w:val="21"/>
                    </w:rPr>
                    <w:pict>
                      <v:rect id="DT" o:spid="_x0000_s1029" o:spt="1" style="position:absolute;left:0pt;margin-left:372.8pt;margin-top:2.7pt;height:18pt;width:90pt;z-index:-251657216;mso-width-relative:page;mso-height-relative:page;" stroked="f" coordsize="21600,21600">
                        <v:path/>
                        <v:fill focussize="0,0"/>
                        <v:stroke on="f"/>
                        <v:imagedata o:title=""/>
                        <o:lock v:ext="edit"/>
                        <v:textbox>
                          <w:txbxContent>
                            <w:p/>
                          </w:txbxContent>
                        </v:textbox>
                      </v:rect>
                    </w:pict>
                  </w:r>
                </w:p>
              </w:tc>
            </w:tr>
          </w:tbl>
          <w:p>
            <w:pPr>
              <w:widowControl/>
              <w:spacing w:before="357" w:line="280" w:lineRule="exact"/>
              <w:jc w:val="right"/>
              <w:rPr>
                <w:rFonts w:ascii="黑体" w:hAnsi="黑体" w:eastAsia="黑体" w:cs="Times New Roman"/>
                <w:color w:val="auto"/>
                <w:kern w:val="0"/>
                <w:sz w:val="28"/>
                <w:szCs w:val="28"/>
              </w:rPr>
            </w:pPr>
          </w:p>
          <w:p>
            <w:pPr>
              <w:widowControl/>
              <w:spacing w:before="357" w:line="280" w:lineRule="exact"/>
              <w:jc w:val="right"/>
              <w:rPr>
                <w:rFonts w:ascii="黑体" w:hAnsi="黑体" w:eastAsia="黑体" w:cs="Times New Roman"/>
                <w:color w:val="auto"/>
                <w:kern w:val="0"/>
                <w:sz w:val="28"/>
                <w:szCs w:val="28"/>
              </w:rPr>
            </w:pPr>
          </w:p>
          <w:p>
            <w:pPr>
              <w:jc w:val="center"/>
              <w:rPr>
                <w:rFonts w:ascii="Times New Roman" w:hAnsi="Times New Roman" w:eastAsia="黑体" w:cs="Times New Roman"/>
                <w:b/>
                <w:color w:val="auto"/>
                <w:sz w:val="52"/>
                <w:szCs w:val="20"/>
              </w:rPr>
            </w:pPr>
          </w:p>
        </w:tc>
      </w:tr>
      <w:tr>
        <w:tblPrEx>
          <w:tblCellMar>
            <w:top w:w="0" w:type="dxa"/>
            <w:left w:w="0" w:type="dxa"/>
            <w:bottom w:w="0" w:type="dxa"/>
            <w:right w:w="0" w:type="dxa"/>
          </w:tblCellMar>
        </w:tblPrEx>
        <w:trPr>
          <w:cantSplit/>
          <w:trHeight w:val="60" w:hRule="exact"/>
        </w:trPr>
        <w:tc>
          <w:tcPr>
            <w:tcW w:w="3232" w:type="dxa"/>
            <w:gridSpan w:val="4"/>
            <w:vAlign w:val="center"/>
          </w:tcPr>
          <w:p>
            <w:pPr>
              <w:rPr>
                <w:rFonts w:ascii="Times New Roman" w:hAnsi="Times New Roman" w:eastAsia="宋体" w:cs="Times New Roman"/>
                <w:color w:val="auto"/>
                <w:szCs w:val="20"/>
              </w:rPr>
            </w:pPr>
          </w:p>
        </w:tc>
        <w:tc>
          <w:tcPr>
            <w:tcW w:w="1134" w:type="dxa"/>
            <w:vAlign w:val="center"/>
          </w:tcPr>
          <w:p>
            <w:pPr>
              <w:jc w:val="right"/>
              <w:rPr>
                <w:rFonts w:ascii="Times New Roman" w:hAnsi="Times New Roman" w:eastAsia="宋体" w:cs="Times New Roman"/>
                <w:color w:val="auto"/>
                <w:szCs w:val="20"/>
              </w:rPr>
            </w:pPr>
          </w:p>
        </w:tc>
        <w:tc>
          <w:tcPr>
            <w:tcW w:w="5124" w:type="dxa"/>
            <w:vAlign w:val="center"/>
          </w:tcPr>
          <w:p>
            <w:pPr>
              <w:wordWrap w:val="0"/>
              <w:jc w:val="right"/>
              <w:rPr>
                <w:rFonts w:ascii="Times New Roman" w:hAnsi="Times New Roman" w:eastAsia="宋体" w:cs="Times New Roman"/>
                <w:color w:val="auto"/>
                <w:szCs w:val="20"/>
              </w:rPr>
            </w:pPr>
          </w:p>
        </w:tc>
        <w:tc>
          <w:tcPr>
            <w:tcW w:w="150" w:type="dxa"/>
            <w:vAlign w:val="center"/>
          </w:tcPr>
          <w:p>
            <w:pPr>
              <w:rPr>
                <w:rFonts w:ascii="Times New Roman" w:hAnsi="Times New Roman" w:eastAsia="宋体" w:cs="Times New Roman"/>
                <w:color w:val="auto"/>
                <w:szCs w:val="20"/>
              </w:rPr>
            </w:pPr>
          </w:p>
        </w:tc>
      </w:tr>
      <w:tr>
        <w:tblPrEx>
          <w:tblCellMar>
            <w:top w:w="0" w:type="dxa"/>
            <w:left w:w="0" w:type="dxa"/>
            <w:bottom w:w="0" w:type="dxa"/>
            <w:right w:w="0" w:type="dxa"/>
          </w:tblCellMar>
        </w:tblPrEx>
        <w:trPr>
          <w:trHeight w:val="1938" w:hRule="exact"/>
        </w:trPr>
        <w:tc>
          <w:tcPr>
            <w:tcW w:w="9640" w:type="dxa"/>
            <w:gridSpan w:val="7"/>
            <w:tcBorders>
              <w:top w:val="single" w:color="auto" w:sz="8" w:space="0"/>
            </w:tcBorders>
            <w:vAlign w:val="center"/>
          </w:tcPr>
          <w:p>
            <w:pPr>
              <w:jc w:val="center"/>
              <w:rPr>
                <w:rFonts w:ascii="Times New Roman" w:hAnsi="Times New Roman" w:eastAsia="黑体" w:cs="Times New Roman"/>
                <w:color w:val="auto"/>
                <w:sz w:val="52"/>
                <w:szCs w:val="20"/>
              </w:rPr>
            </w:pPr>
          </w:p>
        </w:tc>
      </w:tr>
      <w:tr>
        <w:tblPrEx>
          <w:tblCellMar>
            <w:top w:w="0" w:type="dxa"/>
            <w:left w:w="0" w:type="dxa"/>
            <w:bottom w:w="0" w:type="dxa"/>
            <w:right w:w="0" w:type="dxa"/>
          </w:tblCellMar>
        </w:tblPrEx>
        <w:trPr>
          <w:trHeight w:val="834" w:hRule="exact"/>
        </w:trPr>
        <w:tc>
          <w:tcPr>
            <w:tcW w:w="9640" w:type="dxa"/>
            <w:gridSpan w:val="7"/>
            <w:vAlign w:val="center"/>
          </w:tcPr>
          <w:p>
            <w:pPr>
              <w:spacing w:before="120" w:beforeLines="50" w:after="120" w:afterLines="50" w:line="360" w:lineRule="auto"/>
              <w:jc w:val="center"/>
              <w:rPr>
                <w:rFonts w:ascii="黑体" w:hAnsi="黑体" w:eastAsia="黑体" w:cs="Times New Roman"/>
                <w:color w:val="auto"/>
                <w:sz w:val="48"/>
                <w:szCs w:val="48"/>
              </w:rPr>
            </w:pPr>
            <w:r>
              <w:rPr>
                <w:rFonts w:hint="eastAsia" w:ascii="黑体" w:hAnsi="黑体" w:eastAsia="黑体" w:cs="黑体"/>
                <w:color w:val="auto"/>
                <w:sz w:val="52"/>
                <w:szCs w:val="52"/>
              </w:rPr>
              <w:t>食管癌</w:t>
            </w:r>
            <w:r>
              <w:rPr>
                <w:rFonts w:hint="eastAsia" w:ascii="黑体" w:hAnsi="黑体" w:eastAsia="黑体" w:cs="黑体"/>
                <w:color w:val="auto"/>
                <w:sz w:val="52"/>
                <w:szCs w:val="52"/>
                <w:lang w:val="en-US" w:eastAsia="zh-CN"/>
              </w:rPr>
              <w:t>前病变治未病干预方案</w:t>
            </w:r>
          </w:p>
          <w:p>
            <w:pPr>
              <w:ind w:left="-105" w:leftChars="-50"/>
              <w:jc w:val="center"/>
              <w:rPr>
                <w:rFonts w:ascii="黑体" w:hAnsi="黑体" w:eastAsia="黑体" w:cs="Times New Roman"/>
                <w:color w:val="auto"/>
                <w:sz w:val="52"/>
                <w:szCs w:val="52"/>
              </w:rPr>
            </w:pPr>
          </w:p>
          <w:p>
            <w:pPr>
              <w:spacing w:line="680" w:lineRule="exact"/>
              <w:jc w:val="center"/>
              <w:textAlignment w:val="center"/>
              <w:rPr>
                <w:rFonts w:ascii="黑体" w:hAnsi="Times New Roman" w:eastAsia="黑体" w:cs="Times New Roman"/>
                <w:color w:val="auto"/>
                <w:kern w:val="0"/>
                <w:sz w:val="52"/>
                <w:szCs w:val="20"/>
              </w:rPr>
            </w:pPr>
          </w:p>
          <w:p>
            <w:pPr>
              <w:spacing w:line="640" w:lineRule="exact"/>
              <w:jc w:val="center"/>
              <w:rPr>
                <w:rFonts w:ascii="黑体" w:hAnsi="Times New Roman" w:eastAsia="黑体" w:cs="Times New Roman"/>
                <w:color w:val="auto"/>
                <w:spacing w:val="-6"/>
                <w:sz w:val="52"/>
                <w:szCs w:val="52"/>
              </w:rPr>
            </w:pPr>
          </w:p>
        </w:tc>
      </w:tr>
      <w:tr>
        <w:tblPrEx>
          <w:tblCellMar>
            <w:top w:w="0" w:type="dxa"/>
            <w:left w:w="0" w:type="dxa"/>
            <w:bottom w:w="0" w:type="dxa"/>
            <w:right w:w="0" w:type="dxa"/>
          </w:tblCellMar>
        </w:tblPrEx>
        <w:trPr>
          <w:trHeight w:val="1122" w:hRule="exact"/>
        </w:trPr>
        <w:tc>
          <w:tcPr>
            <w:tcW w:w="9640" w:type="dxa"/>
            <w:gridSpan w:val="7"/>
            <w:vAlign w:val="center"/>
          </w:tcPr>
          <w:p>
            <w:pPr>
              <w:keepLines w:val="0"/>
              <w:pageBreakBefore w:val="0"/>
              <w:kinsoku/>
              <w:overflowPunct/>
              <w:topLinePunct w:val="0"/>
              <w:bidi w:val="0"/>
              <w:adjustRightInd/>
              <w:spacing w:line="360" w:lineRule="exact"/>
              <w:jc w:val="center"/>
              <w:rPr>
                <w:rFonts w:hint="eastAsia" w:ascii="黑体" w:hAnsi="黑体" w:eastAsia="黑体" w:cs="黑体"/>
                <w:color w:val="auto"/>
                <w:sz w:val="28"/>
                <w:szCs w:val="28"/>
                <w:lang w:val="en-US" w:eastAsia="zh-CN"/>
              </w:rPr>
            </w:pPr>
            <w:r>
              <w:rPr>
                <w:rFonts w:hint="eastAsia" w:ascii="宋体" w:hAnsi="宋体" w:eastAsia="宋体" w:cs="宋体"/>
                <w:b/>
                <w:color w:val="auto"/>
                <w:sz w:val="28"/>
                <w:szCs w:val="28"/>
                <w:lang w:val="en-US" w:eastAsia="zh-CN"/>
              </w:rPr>
              <w:t>Guidelines for TCM intervention of esophageal precancerous lesions</w:t>
            </w:r>
          </w:p>
          <w:p>
            <w:pPr>
              <w:keepLines w:val="0"/>
              <w:pageBreakBefore w:val="0"/>
              <w:kinsoku/>
              <w:overflowPunct/>
              <w:topLinePunct w:val="0"/>
              <w:bidi w:val="0"/>
              <w:adjustRightInd/>
              <w:spacing w:line="360" w:lineRule="exact"/>
              <w:jc w:val="center"/>
              <w:rPr>
                <w:rFonts w:hint="eastAsia" w:ascii="宋体" w:hAnsi="宋体" w:eastAsia="宋体" w:cs="宋体"/>
                <w:color w:val="auto"/>
                <w:sz w:val="22"/>
                <w:szCs w:val="28"/>
              </w:rPr>
            </w:pPr>
            <w:r>
              <w:rPr>
                <w:rFonts w:hint="eastAsia" w:ascii="黑体" w:hAnsi="黑体" w:eastAsia="黑体" w:cs="黑体"/>
                <w:color w:val="auto"/>
                <w:sz w:val="28"/>
                <w:szCs w:val="28"/>
              </w:rPr>
              <w:t>（文件类型：</w:t>
            </w:r>
            <w:r>
              <w:rPr>
                <w:rFonts w:hint="eastAsia" w:ascii="黑体" w:hAnsi="黑体" w:eastAsia="黑体" w:cs="黑体"/>
                <w:color w:val="auto"/>
                <w:sz w:val="28"/>
                <w:szCs w:val="28"/>
                <w:lang w:val="en-US" w:eastAsia="zh-CN"/>
              </w:rPr>
              <w:t>征求意见稿</w:t>
            </w:r>
            <w:r>
              <w:rPr>
                <w:rFonts w:hint="eastAsia" w:ascii="黑体" w:hAnsi="黑体" w:eastAsia="黑体" w:cs="黑体"/>
                <w:color w:val="auto"/>
                <w:sz w:val="28"/>
                <w:szCs w:val="28"/>
              </w:rPr>
              <w:t>）</w:t>
            </w:r>
          </w:p>
          <w:p>
            <w:pPr>
              <w:spacing w:line="0" w:lineRule="atLeast"/>
              <w:jc w:val="center"/>
              <w:rPr>
                <w:rFonts w:cs="Times New Roman" w:asciiTheme="minorEastAsia" w:hAnsiTheme="minorEastAsia"/>
                <w:color w:val="auto"/>
                <w:sz w:val="28"/>
                <w:szCs w:val="28"/>
              </w:rPr>
            </w:pPr>
          </w:p>
        </w:tc>
      </w:tr>
      <w:tr>
        <w:tblPrEx>
          <w:tblCellMar>
            <w:top w:w="0" w:type="dxa"/>
            <w:left w:w="0" w:type="dxa"/>
            <w:bottom w:w="0" w:type="dxa"/>
            <w:right w:w="0" w:type="dxa"/>
          </w:tblCellMar>
        </w:tblPrEx>
        <w:trPr>
          <w:trHeight w:val="454" w:hRule="exact"/>
        </w:trPr>
        <w:tc>
          <w:tcPr>
            <w:tcW w:w="9640" w:type="dxa"/>
            <w:gridSpan w:val="7"/>
            <w:vAlign w:val="center"/>
          </w:tcPr>
          <w:p>
            <w:pPr>
              <w:spacing w:line="360" w:lineRule="exact"/>
              <w:jc w:val="center"/>
              <w:rPr>
                <w:rFonts w:ascii="Calibri" w:hAnsi="Calibri" w:eastAsia="宋体" w:cs="Times New Roman"/>
                <w:b/>
                <w:color w:val="auto"/>
                <w:sz w:val="28"/>
                <w:szCs w:val="28"/>
              </w:rPr>
            </w:pPr>
            <w:r>
              <w:rPr>
                <w:rFonts w:hint="eastAsia" w:cs="Times New Roman" w:asciiTheme="minorEastAsia" w:hAnsiTheme="minorEastAsia"/>
                <w:color w:val="auto"/>
                <w:sz w:val="22"/>
                <w:szCs w:val="28"/>
              </w:rPr>
              <w:t>（完成时间：2</w:t>
            </w:r>
            <w:r>
              <w:rPr>
                <w:rFonts w:cs="Times New Roman" w:asciiTheme="minorEastAsia" w:hAnsiTheme="minorEastAsia"/>
                <w:color w:val="auto"/>
                <w:sz w:val="22"/>
                <w:szCs w:val="28"/>
              </w:rPr>
              <w:t>0</w:t>
            </w:r>
            <w:r>
              <w:rPr>
                <w:rFonts w:hint="eastAsia" w:cs="Times New Roman" w:asciiTheme="minorEastAsia" w:hAnsiTheme="minorEastAsia"/>
                <w:color w:val="auto"/>
                <w:sz w:val="22"/>
                <w:szCs w:val="28"/>
                <w:lang w:val="en-US" w:eastAsia="zh-CN"/>
              </w:rPr>
              <w:t>22</w:t>
            </w:r>
            <w:r>
              <w:rPr>
                <w:rFonts w:hint="eastAsia" w:cs="Times New Roman" w:asciiTheme="minorEastAsia" w:hAnsiTheme="minorEastAsia"/>
                <w:color w:val="auto"/>
                <w:sz w:val="22"/>
                <w:szCs w:val="28"/>
              </w:rPr>
              <w:t>年</w:t>
            </w:r>
            <w:r>
              <w:rPr>
                <w:rFonts w:hint="eastAsia" w:cs="Times New Roman" w:asciiTheme="minorEastAsia" w:hAnsiTheme="minorEastAsia"/>
                <w:color w:val="auto"/>
                <w:sz w:val="22"/>
                <w:szCs w:val="28"/>
                <w:lang w:val="en-US" w:eastAsia="zh-CN"/>
              </w:rPr>
              <w:t>5</w:t>
            </w:r>
            <w:r>
              <w:rPr>
                <w:rFonts w:hint="eastAsia" w:cs="Times New Roman" w:asciiTheme="minorEastAsia" w:hAnsiTheme="minorEastAsia"/>
                <w:color w:val="auto"/>
                <w:sz w:val="22"/>
                <w:szCs w:val="28"/>
              </w:rPr>
              <w:t>月）</w:t>
            </w:r>
          </w:p>
        </w:tc>
      </w:tr>
    </w:tbl>
    <w:p>
      <w:pPr>
        <w:rPr>
          <w:rFonts w:ascii="Times New Roman" w:hAnsi="Times New Roman" w:eastAsia="宋体" w:cs="Times New Roman"/>
          <w:color w:val="auto"/>
          <w:szCs w:val="20"/>
        </w:rPr>
      </w:pPr>
    </w:p>
    <w:p>
      <w:pPr>
        <w:rPr>
          <w:rFonts w:ascii="Times New Roman" w:hAnsi="Times New Roman" w:eastAsia="宋体" w:cs="Times New Roman"/>
          <w:color w:val="auto"/>
          <w:szCs w:val="20"/>
        </w:rPr>
      </w:pPr>
    </w:p>
    <w:p>
      <w:pPr>
        <w:rPr>
          <w:rFonts w:ascii="Times New Roman" w:hAnsi="Times New Roman" w:eastAsia="宋体" w:cs="Times New Roman"/>
          <w:color w:val="auto"/>
          <w:szCs w:val="20"/>
        </w:rPr>
      </w:pPr>
    </w:p>
    <w:p>
      <w:pPr>
        <w:rPr>
          <w:rFonts w:ascii="仿宋" w:hAnsi="仿宋" w:eastAsia="仿宋"/>
          <w:color w:val="auto"/>
          <w:sz w:val="30"/>
          <w:szCs w:val="30"/>
        </w:rPr>
      </w:pPr>
    </w:p>
    <w:p>
      <w:pPr>
        <w:rPr>
          <w:rFonts w:ascii="仿宋" w:hAnsi="仿宋" w:eastAsia="仿宋"/>
          <w:color w:val="auto"/>
          <w:sz w:val="30"/>
          <w:szCs w:val="30"/>
        </w:rPr>
      </w:pPr>
    </w:p>
    <w:p>
      <w:pPr>
        <w:rPr>
          <w:rFonts w:ascii="仿宋" w:hAnsi="仿宋" w:eastAsia="仿宋"/>
          <w:color w:val="auto"/>
          <w:sz w:val="30"/>
          <w:szCs w:val="30"/>
        </w:rPr>
      </w:pPr>
    </w:p>
    <w:p>
      <w:pPr>
        <w:rPr>
          <w:rFonts w:ascii="仿宋" w:hAnsi="仿宋" w:eastAsia="仿宋"/>
          <w:color w:val="auto"/>
          <w:sz w:val="30"/>
          <w:szCs w:val="30"/>
        </w:rPr>
      </w:pPr>
    </w:p>
    <w:tbl>
      <w:tblPr>
        <w:tblStyle w:val="12"/>
        <w:tblW w:w="0" w:type="auto"/>
        <w:jc w:val="center"/>
        <w:tblLayout w:type="fixed"/>
        <w:tblCellMar>
          <w:top w:w="0" w:type="dxa"/>
          <w:left w:w="0" w:type="dxa"/>
          <w:bottom w:w="0" w:type="dxa"/>
          <w:right w:w="0" w:type="dxa"/>
        </w:tblCellMar>
      </w:tblPr>
      <w:tblGrid>
        <w:gridCol w:w="3232"/>
        <w:gridCol w:w="3175"/>
        <w:gridCol w:w="3232"/>
      </w:tblGrid>
      <w:tr>
        <w:tblPrEx>
          <w:tblCellMar>
            <w:top w:w="0" w:type="dxa"/>
            <w:left w:w="0" w:type="dxa"/>
            <w:bottom w:w="0" w:type="dxa"/>
            <w:right w:w="0" w:type="dxa"/>
          </w:tblCellMar>
        </w:tblPrEx>
        <w:trPr>
          <w:trHeight w:val="312" w:hRule="exact"/>
          <w:jc w:val="center"/>
        </w:trPr>
        <w:tc>
          <w:tcPr>
            <w:tcW w:w="9639" w:type="dxa"/>
            <w:gridSpan w:val="3"/>
          </w:tcPr>
          <w:p>
            <w:pPr>
              <w:rPr>
                <w:color w:val="auto"/>
              </w:rPr>
            </w:pPr>
          </w:p>
        </w:tc>
      </w:tr>
      <w:tr>
        <w:tblPrEx>
          <w:tblCellMar>
            <w:top w:w="0" w:type="dxa"/>
            <w:left w:w="0" w:type="dxa"/>
            <w:bottom w:w="0" w:type="dxa"/>
            <w:right w:w="0" w:type="dxa"/>
          </w:tblCellMar>
        </w:tblPrEx>
        <w:trPr>
          <w:trHeight w:val="567" w:hRule="exact"/>
          <w:jc w:val="center"/>
        </w:trPr>
        <w:tc>
          <w:tcPr>
            <w:tcW w:w="9639" w:type="dxa"/>
            <w:gridSpan w:val="3"/>
          </w:tcPr>
          <w:p>
            <w:pPr>
              <w:rPr>
                <w:color w:val="auto"/>
              </w:rPr>
            </w:pPr>
          </w:p>
        </w:tc>
      </w:tr>
      <w:tr>
        <w:tblPrEx>
          <w:tblCellMar>
            <w:top w:w="0" w:type="dxa"/>
            <w:left w:w="0" w:type="dxa"/>
            <w:bottom w:w="0" w:type="dxa"/>
            <w:right w:w="0" w:type="dxa"/>
          </w:tblCellMar>
        </w:tblPrEx>
        <w:trPr>
          <w:trHeight w:val="567" w:hRule="exact"/>
          <w:jc w:val="center"/>
        </w:trPr>
        <w:tc>
          <w:tcPr>
            <w:tcW w:w="3232" w:type="dxa"/>
            <w:tcBorders>
              <w:bottom w:val="single" w:color="auto" w:sz="8" w:space="0"/>
            </w:tcBorders>
            <w:vAlign w:val="bottom"/>
          </w:tcPr>
          <w:p>
            <w:pPr>
              <w:rPr>
                <w:rFonts w:ascii="黑体" w:hAnsi="黑体" w:eastAsia="黑体"/>
                <w:color w:val="auto"/>
              </w:rPr>
            </w:pPr>
            <w:r>
              <w:rPr>
                <w:rFonts w:hint="eastAsia" w:ascii="黑体" w:hAnsi="黑体" w:eastAsia="黑体"/>
                <w:color w:val="auto"/>
                <w:spacing w:val="10"/>
                <w:sz w:val="28"/>
                <w:szCs w:val="28"/>
              </w:rPr>
              <w:t>20**</w:t>
            </w:r>
            <w:r>
              <w:rPr>
                <w:rFonts w:hint="eastAsia" w:ascii="黑体" w:hAnsi="黑体" w:eastAsia="黑体"/>
                <w:color w:val="auto"/>
                <w:sz w:val="28"/>
              </w:rPr>
              <w:t>-</w:t>
            </w:r>
            <w:r>
              <w:rPr>
                <w:rFonts w:hint="eastAsia" w:ascii="黑体" w:hAnsi="黑体" w:eastAsia="黑体"/>
                <w:color w:val="auto"/>
                <w:spacing w:val="10"/>
                <w:sz w:val="28"/>
                <w:szCs w:val="28"/>
              </w:rPr>
              <w:t>**</w:t>
            </w:r>
            <w:r>
              <w:rPr>
                <w:rFonts w:hint="eastAsia" w:ascii="黑体" w:hAnsi="黑体" w:eastAsia="黑体"/>
                <w:color w:val="auto"/>
                <w:sz w:val="28"/>
              </w:rPr>
              <w:t>-</w:t>
            </w:r>
            <w:r>
              <w:rPr>
                <w:rFonts w:hint="eastAsia" w:ascii="黑体" w:hAnsi="黑体" w:eastAsia="黑体"/>
                <w:color w:val="auto"/>
                <w:spacing w:val="10"/>
                <w:sz w:val="28"/>
                <w:szCs w:val="28"/>
              </w:rPr>
              <w:t>**</w:t>
            </w:r>
            <w:r>
              <w:rPr>
                <w:rFonts w:hint="eastAsia" w:ascii="黑体" w:hAnsi="黑体" w:eastAsia="黑体"/>
                <w:color w:val="auto"/>
                <w:sz w:val="28"/>
              </w:rPr>
              <w:t>发布</w:t>
            </w:r>
          </w:p>
        </w:tc>
        <w:tc>
          <w:tcPr>
            <w:tcW w:w="3175" w:type="dxa"/>
            <w:tcBorders>
              <w:bottom w:val="single" w:color="auto" w:sz="8" w:space="0"/>
            </w:tcBorders>
            <w:vAlign w:val="bottom"/>
          </w:tcPr>
          <w:p>
            <w:pPr>
              <w:jc w:val="center"/>
              <w:rPr>
                <w:rFonts w:ascii="黑体" w:eastAsia="黑体"/>
                <w:color w:val="auto"/>
                <w:sz w:val="28"/>
              </w:rPr>
            </w:pPr>
          </w:p>
        </w:tc>
        <w:tc>
          <w:tcPr>
            <w:tcW w:w="3232" w:type="dxa"/>
            <w:tcBorders>
              <w:bottom w:val="single" w:color="auto" w:sz="8" w:space="0"/>
            </w:tcBorders>
            <w:vAlign w:val="bottom"/>
          </w:tcPr>
          <w:p>
            <w:pPr>
              <w:jc w:val="right"/>
              <w:rPr>
                <w:rFonts w:ascii="黑体" w:hAnsi="黑体" w:eastAsia="黑体"/>
                <w:color w:val="auto"/>
              </w:rPr>
            </w:pPr>
            <w:r>
              <w:rPr>
                <w:rFonts w:hint="eastAsia" w:ascii="黑体" w:hAnsi="黑体" w:eastAsia="黑体"/>
                <w:color w:val="auto"/>
                <w:spacing w:val="10"/>
                <w:sz w:val="28"/>
                <w:szCs w:val="28"/>
              </w:rPr>
              <w:t>20**</w:t>
            </w:r>
            <w:r>
              <w:rPr>
                <w:rFonts w:hint="eastAsia" w:ascii="黑体" w:hAnsi="黑体" w:eastAsia="黑体"/>
                <w:color w:val="auto"/>
                <w:sz w:val="28"/>
              </w:rPr>
              <w:t>-</w:t>
            </w:r>
            <w:r>
              <w:rPr>
                <w:rFonts w:hint="eastAsia" w:ascii="黑体" w:hAnsi="黑体" w:eastAsia="黑体"/>
                <w:color w:val="auto"/>
                <w:spacing w:val="10"/>
                <w:sz w:val="28"/>
                <w:szCs w:val="28"/>
              </w:rPr>
              <w:t>**</w:t>
            </w:r>
            <w:r>
              <w:rPr>
                <w:rFonts w:hint="eastAsia" w:ascii="黑体" w:hAnsi="黑体" w:eastAsia="黑体"/>
                <w:color w:val="auto"/>
                <w:sz w:val="28"/>
              </w:rPr>
              <w:t>-</w:t>
            </w:r>
            <w:r>
              <w:rPr>
                <w:rFonts w:hint="eastAsia" w:ascii="黑体" w:hAnsi="黑体" w:eastAsia="黑体"/>
                <w:color w:val="auto"/>
                <w:spacing w:val="10"/>
                <w:sz w:val="28"/>
                <w:szCs w:val="28"/>
              </w:rPr>
              <w:t>**</w:t>
            </w:r>
            <w:r>
              <w:rPr>
                <w:rFonts w:hint="eastAsia" w:ascii="黑体" w:hAnsi="黑体" w:eastAsia="黑体"/>
                <w:color w:val="auto"/>
                <w:sz w:val="28"/>
              </w:rPr>
              <w:t>实施</w:t>
            </w:r>
          </w:p>
        </w:tc>
      </w:tr>
      <w:tr>
        <w:tblPrEx>
          <w:tblCellMar>
            <w:top w:w="0" w:type="dxa"/>
            <w:left w:w="0" w:type="dxa"/>
            <w:bottom w:w="0" w:type="dxa"/>
            <w:right w:w="0" w:type="dxa"/>
          </w:tblCellMar>
        </w:tblPrEx>
        <w:trPr>
          <w:trHeight w:val="567" w:hRule="exact"/>
          <w:jc w:val="center"/>
        </w:trPr>
        <w:tc>
          <w:tcPr>
            <w:tcW w:w="9639" w:type="dxa"/>
            <w:gridSpan w:val="3"/>
            <w:tcBorders>
              <w:top w:val="single" w:color="auto" w:sz="8" w:space="0"/>
            </w:tcBorders>
            <w:vAlign w:val="center"/>
          </w:tcPr>
          <w:p>
            <w:pPr>
              <w:jc w:val="center"/>
              <w:rPr>
                <w:rFonts w:eastAsia="黑体"/>
                <w:color w:val="auto"/>
                <w:spacing w:val="30"/>
                <w:sz w:val="32"/>
              </w:rPr>
            </w:pPr>
          </w:p>
        </w:tc>
      </w:tr>
      <w:tr>
        <w:tblPrEx>
          <w:tblCellMar>
            <w:top w:w="0" w:type="dxa"/>
            <w:left w:w="0" w:type="dxa"/>
            <w:bottom w:w="0" w:type="dxa"/>
            <w:right w:w="0" w:type="dxa"/>
          </w:tblCellMar>
        </w:tblPrEx>
        <w:trPr>
          <w:trHeight w:val="380" w:hRule="exact"/>
          <w:jc w:val="center"/>
        </w:trPr>
        <w:tc>
          <w:tcPr>
            <w:tcW w:w="9639" w:type="dxa"/>
            <w:gridSpan w:val="3"/>
          </w:tcPr>
          <w:p>
            <w:pPr>
              <w:spacing w:line="360" w:lineRule="exact"/>
              <w:jc w:val="center"/>
              <w:rPr>
                <w:color w:val="auto"/>
                <w:sz w:val="30"/>
                <w:szCs w:val="30"/>
              </w:rPr>
            </w:pPr>
            <w:r>
              <w:rPr>
                <w:rFonts w:hint="eastAsia" w:eastAsia="黑体"/>
                <w:color w:val="auto"/>
                <w:spacing w:val="40"/>
                <w:sz w:val="32"/>
                <w:szCs w:val="32"/>
              </w:rPr>
              <w:t>中华中医药学会</w:t>
            </w:r>
            <w:r>
              <w:rPr>
                <w:rFonts w:hint="eastAsia" w:eastAsia="黑体"/>
                <w:color w:val="auto"/>
                <w:spacing w:val="40"/>
                <w:sz w:val="28"/>
                <w:szCs w:val="28"/>
              </w:rPr>
              <w:t>发布</w:t>
            </w:r>
          </w:p>
        </w:tc>
      </w:tr>
    </w:tbl>
    <w:p>
      <w:pPr>
        <w:pStyle w:val="25"/>
        <w:keepLines w:val="0"/>
        <w:pageBreakBefore w:val="0"/>
        <w:kinsoku/>
        <w:overflowPunct/>
        <w:topLinePunct w:val="0"/>
        <w:bidi w:val="0"/>
        <w:adjustRightInd/>
        <w:spacing w:line="360" w:lineRule="exact"/>
        <w:jc w:val="both"/>
        <w:rPr>
          <w:rFonts w:hint="eastAsia" w:ascii="宋体" w:hAnsi="宋体" w:eastAsia="宋体" w:cs="宋体"/>
          <w:color w:val="auto"/>
        </w:rPr>
        <w:sectPr>
          <w:headerReference r:id="rId3" w:type="default"/>
          <w:footerReference r:id="rId4" w:type="default"/>
          <w:pgSz w:w="11906" w:h="16838"/>
          <w:pgMar w:top="1440" w:right="1797" w:bottom="1440" w:left="1797" w:header="1418" w:footer="1134" w:gutter="0"/>
          <w:pgNumType w:fmt="decimal" w:start="1"/>
          <w:cols w:space="720" w:num="1"/>
          <w:formProt w:val="0"/>
          <w:docGrid w:linePitch="312" w:charSpace="0"/>
        </w:sectPr>
      </w:pPr>
      <w:bookmarkStart w:id="0" w:name="_Toc509933846"/>
      <w:bookmarkStart w:id="1" w:name="_Toc510534525"/>
    </w:p>
    <w:p>
      <w:pPr>
        <w:pStyle w:val="25"/>
        <w:keepLines w:val="0"/>
        <w:pageBreakBefore w:val="0"/>
        <w:kinsoku/>
        <w:overflowPunct/>
        <w:topLinePunct w:val="0"/>
        <w:bidi w:val="0"/>
        <w:adjustRightInd/>
        <w:spacing w:line="360" w:lineRule="exact"/>
        <w:rPr>
          <w:rFonts w:hint="eastAsia" w:ascii="黑体" w:hAnsi="黑体" w:eastAsia="黑体" w:cs="黑体"/>
          <w:color w:val="auto"/>
        </w:rPr>
      </w:pPr>
      <w:r>
        <w:rPr>
          <w:rFonts w:hint="eastAsia" w:ascii="黑体" w:hAnsi="黑体" w:eastAsia="黑体" w:cs="黑体"/>
          <w:color w:val="auto"/>
        </w:rPr>
        <w:t>目</w:t>
      </w:r>
      <w:bookmarkStart w:id="2" w:name="BKML"/>
      <w:r>
        <w:rPr>
          <w:rFonts w:hint="eastAsia" w:ascii="黑体" w:hAnsi="黑体" w:eastAsia="黑体" w:cs="黑体"/>
          <w:color w:val="auto"/>
        </w:rPr>
        <w:t xml:space="preserve">  次</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前言……………………………………………………………………………………………I</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引言……………………………………………………………………………………………II</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范围…………………………………………………………………………………………1</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  规范性引用文件……………………………………………………………………………1</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  术语和定义…………………………………………………………………………………1</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  流行病学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  病因病机</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lang w:val="en-US" w:eastAsia="zh-CN"/>
        </w:rPr>
      </w:pPr>
      <w:r>
        <w:rPr>
          <w:rFonts w:hint="eastAsia" w:ascii="宋体" w:hAnsi="宋体" w:eastAsia="宋体" w:cs="宋体"/>
          <w:color w:val="auto"/>
          <w:sz w:val="21"/>
          <w:szCs w:val="21"/>
          <w:lang w:val="en-US" w:eastAsia="zh-CN"/>
        </w:rPr>
        <w:t>6  筛查</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6.1 筛查对象</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6.2 筛查目标</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6.3 筛查流程</w:t>
      </w:r>
      <w:r>
        <w:rPr>
          <w:rFonts w:hint="eastAsia" w:hAnsi="宋体" w:eastAsia="宋体" w:cs="宋体"/>
          <w:color w:val="auto"/>
          <w:sz w:val="21"/>
          <w:szCs w:val="21"/>
          <w:lang w:val="en-US" w:eastAsia="zh-CN"/>
        </w:rPr>
        <w:t>和方法</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  干预…………………………………………………………………………………………4</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7.1 概述……………………………………………………………………………………4</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lang w:val="en-US" w:eastAsia="zh-CN"/>
        </w:rPr>
      </w:pPr>
      <w:r>
        <w:rPr>
          <w:rFonts w:hint="eastAsia" w:ascii="宋体" w:hAnsi="宋体" w:eastAsia="宋体" w:cs="宋体"/>
          <w:color w:val="auto"/>
          <w:sz w:val="21"/>
          <w:szCs w:val="21"/>
          <w:lang w:val="en-US" w:eastAsia="zh-CN"/>
        </w:rPr>
        <w:t xml:space="preserve">   7.2 未病先防………………………………………………………………………………4</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7.3 已病防变………………………………………………………………………………6</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7.4 瘥后防复………………………………………………………………………………16</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  随访…………………………………………………………………………………………17</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  临床问题、推荐意见、证据描述…………………………………………………………17</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附录A………………………………………………………………………………………21</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附录B………………………………………………………………………………………23</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lang w:val="en-US" w:eastAsia="zh-CN"/>
        </w:rPr>
      </w:pPr>
      <w:r>
        <w:rPr>
          <w:rFonts w:hint="eastAsia" w:ascii="宋体" w:hAnsi="宋体" w:eastAsia="宋体" w:cs="宋体"/>
          <w:color w:val="auto"/>
          <w:sz w:val="21"/>
          <w:szCs w:val="21"/>
          <w:lang w:val="en-US" w:eastAsia="zh-CN"/>
        </w:rPr>
        <w:t xml:space="preserve">    附录C………………………………………………………………………………………2</w:t>
      </w:r>
      <w:r>
        <w:rPr>
          <w:rFonts w:hint="eastAsia" w:hAnsi="宋体" w:eastAsia="宋体" w:cs="宋体"/>
          <w:color w:val="auto"/>
          <w:sz w:val="21"/>
          <w:szCs w:val="21"/>
          <w:lang w:val="en-US" w:eastAsia="zh-CN"/>
        </w:rPr>
        <w:t>4</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sz w:val="21"/>
          <w:szCs w:val="21"/>
          <w:lang w:val="en-US" w:eastAsia="zh-CN"/>
        </w:rPr>
        <w:sectPr>
          <w:footerReference r:id="rId5" w:type="default"/>
          <w:pgSz w:w="11906" w:h="16838"/>
          <w:pgMar w:top="1440" w:right="1797" w:bottom="1440" w:left="1797" w:header="1418" w:footer="1134" w:gutter="0"/>
          <w:pgNumType w:fmt="decimal" w:start="1"/>
          <w:cols w:space="720" w:num="1"/>
          <w:formProt w:val="0"/>
          <w:docGrid w:linePitch="312" w:charSpace="0"/>
        </w:sectPr>
      </w:pPr>
      <w:r>
        <w:rPr>
          <w:rFonts w:hint="eastAsia" w:ascii="宋体" w:hAnsi="宋体" w:eastAsia="宋体" w:cs="宋体"/>
          <w:color w:val="auto"/>
          <w:sz w:val="21"/>
          <w:szCs w:val="21"/>
          <w:lang w:val="en-US" w:eastAsia="zh-CN"/>
        </w:rPr>
        <w:t xml:space="preserve">  参考文献………………………………………………………………………………………25</w:t>
      </w:r>
    </w:p>
    <w:tbl>
      <w:tblPr>
        <w:tblStyle w:val="12"/>
        <w:tblW w:w="0" w:type="auto"/>
        <w:tblInd w:w="-180" w:type="dxa"/>
        <w:tblLayout w:type="fixed"/>
        <w:tblCellMar>
          <w:top w:w="0" w:type="dxa"/>
          <w:left w:w="0" w:type="dxa"/>
          <w:bottom w:w="0" w:type="dxa"/>
          <w:right w:w="0" w:type="dxa"/>
        </w:tblCellMar>
      </w:tblPr>
      <w:tblGrid>
        <w:gridCol w:w="9356"/>
      </w:tblGrid>
      <w:tr>
        <w:trPr>
          <w:trHeight w:val="567" w:hRule="exact"/>
        </w:trPr>
        <w:tc>
          <w:tcPr>
            <w:tcW w:w="9356" w:type="dxa"/>
            <w:vAlign w:val="center"/>
          </w:tcPr>
          <w:p>
            <w:pPr>
              <w:keepLines w:val="0"/>
              <w:pageBreakBefore w:val="0"/>
              <w:kinsoku/>
              <w:overflowPunct/>
              <w:topLinePunct w:val="0"/>
              <w:bidi w:val="0"/>
              <w:adjustRightInd/>
              <w:spacing w:line="360" w:lineRule="exact"/>
              <w:jc w:val="center"/>
              <w:rPr>
                <w:rFonts w:hint="eastAsia" w:ascii="宋体" w:hAnsi="宋体" w:eastAsia="宋体" w:cs="宋体"/>
                <w:color w:val="auto"/>
              </w:rPr>
            </w:pPr>
          </w:p>
          <w:p>
            <w:pPr>
              <w:keepLines w:val="0"/>
              <w:pageBreakBefore w:val="0"/>
              <w:kinsoku/>
              <w:overflowPunct/>
              <w:topLinePunct w:val="0"/>
              <w:bidi w:val="0"/>
              <w:adjustRightInd/>
              <w:spacing w:line="360" w:lineRule="exact"/>
              <w:jc w:val="center"/>
              <w:rPr>
                <w:rFonts w:hint="eastAsia" w:ascii="宋体" w:hAnsi="宋体" w:eastAsia="宋体" w:cs="宋体"/>
                <w:color w:val="auto"/>
              </w:rPr>
            </w:pPr>
          </w:p>
        </w:tc>
      </w:tr>
      <w:tr>
        <w:trPr>
          <w:trHeight w:val="360" w:hRule="exact"/>
        </w:trPr>
        <w:tc>
          <w:tcPr>
            <w:tcW w:w="9356" w:type="dxa"/>
            <w:vAlign w:val="center"/>
          </w:tcPr>
          <w:p>
            <w:pPr>
              <w:keepLines w:val="0"/>
              <w:pageBreakBefore w:val="0"/>
              <w:kinsoku/>
              <w:overflowPunct/>
              <w:topLinePunct w:val="0"/>
              <w:bidi w:val="0"/>
              <w:adjustRightInd/>
              <w:spacing w:line="360" w:lineRule="exact"/>
              <w:jc w:val="center"/>
              <w:rPr>
                <w:rFonts w:hint="eastAsia" w:ascii="宋体" w:hAnsi="宋体" w:eastAsia="宋体" w:cs="宋体"/>
                <w:color w:val="auto"/>
              </w:rPr>
            </w:pPr>
            <w:r>
              <w:rPr>
                <w:rFonts w:hint="eastAsia" w:ascii="黑体" w:hAnsi="黑体" w:eastAsia="黑体" w:cs="黑体"/>
                <w:color w:val="auto"/>
                <w:sz w:val="32"/>
              </w:rPr>
              <w:t>前  言</w:t>
            </w:r>
          </w:p>
        </w:tc>
      </w:tr>
      <w:tr>
        <w:trPr>
          <w:trHeight w:val="519" w:hRule="exact"/>
        </w:trPr>
        <w:tc>
          <w:tcPr>
            <w:tcW w:w="9356" w:type="dxa"/>
            <w:vAlign w:val="center"/>
          </w:tcPr>
          <w:p>
            <w:pPr>
              <w:keepLines w:val="0"/>
              <w:pageBreakBefore w:val="0"/>
              <w:kinsoku/>
              <w:overflowPunct/>
              <w:topLinePunct w:val="0"/>
              <w:bidi w:val="0"/>
              <w:adjustRightInd/>
              <w:spacing w:line="360" w:lineRule="exact"/>
              <w:rPr>
                <w:rFonts w:hint="eastAsia" w:ascii="宋体" w:hAnsi="宋体" w:eastAsia="宋体" w:cs="宋体"/>
                <w:color w:val="auto"/>
              </w:rPr>
            </w:pPr>
          </w:p>
        </w:tc>
      </w:tr>
    </w:tbl>
    <w:p>
      <w:pPr>
        <w:pStyle w:val="21"/>
        <w:keepLines w:val="0"/>
        <w:pageBreakBefore w:val="0"/>
        <w:kinsoku/>
        <w:overflowPunct/>
        <w:topLinePunct w:val="0"/>
        <w:bidi w:val="0"/>
        <w:adjustRightInd/>
        <w:spacing w:line="360" w:lineRule="exact"/>
        <w:ind w:firstLine="420" w:firstLineChars="0"/>
        <w:rPr>
          <w:rFonts w:hint="eastAsia" w:ascii="宋体" w:hAnsi="宋体" w:eastAsia="宋体" w:cs="宋体"/>
          <w:color w:val="auto"/>
        </w:rPr>
      </w:pPr>
    </w:p>
    <w:p>
      <w:pPr>
        <w:pStyle w:val="21"/>
        <w:keepLines w:val="0"/>
        <w:pageBreakBefore w:val="0"/>
        <w:kinsoku/>
        <w:overflowPunct/>
        <w:topLinePunct w:val="0"/>
        <w:bidi w:val="0"/>
        <w:adjustRightInd/>
        <w:spacing w:line="360" w:lineRule="exact"/>
        <w:ind w:firstLine="420"/>
        <w:rPr>
          <w:rFonts w:hint="eastAsia" w:ascii="宋体" w:hAnsi="宋体" w:eastAsia="宋体" w:cs="宋体"/>
          <w:color w:val="auto"/>
        </w:rPr>
      </w:pPr>
    </w:p>
    <w:p>
      <w:pPr>
        <w:pStyle w:val="21"/>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本文件参照GB/T1.1—2020《标准化工作导则 第1部分:标准化文件的结构和起草规则》规定的起草。</w:t>
      </w:r>
    </w:p>
    <w:p>
      <w:pPr>
        <w:pStyle w:val="21"/>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本文件由</w:t>
      </w:r>
      <w:r>
        <w:rPr>
          <w:rFonts w:hint="eastAsia" w:hAnsi="宋体" w:cs="宋体"/>
          <w:color w:val="auto"/>
          <w:sz w:val="21"/>
          <w:szCs w:val="21"/>
          <w:lang w:val="en-US" w:eastAsia="zh-CN"/>
        </w:rPr>
        <w:t>河南省中医院（河南中医药大学第二附属医院）</w:t>
      </w:r>
      <w:r>
        <w:rPr>
          <w:rFonts w:hint="eastAsia" w:ascii="宋体" w:hAnsi="宋体" w:eastAsia="宋体" w:cs="宋体"/>
          <w:color w:val="auto"/>
          <w:sz w:val="21"/>
          <w:szCs w:val="21"/>
        </w:rPr>
        <w:t>提出。</w:t>
      </w:r>
    </w:p>
    <w:p>
      <w:pPr>
        <w:pStyle w:val="21"/>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本文件由中华中医药学会归口。</w:t>
      </w:r>
    </w:p>
    <w:p>
      <w:pPr>
        <w:pStyle w:val="21"/>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本文件起草单位：河南省中医院（河南中医药大学第二附属医院）、</w:t>
      </w:r>
      <w:r>
        <w:rPr>
          <w:rFonts w:hint="eastAsia" w:ascii="宋体" w:hAnsi="宋体" w:eastAsia="宋体" w:cs="宋体"/>
          <w:color w:val="auto"/>
          <w:sz w:val="21"/>
          <w:szCs w:val="21"/>
          <w:lang w:val="en-US" w:eastAsia="zh-CN"/>
        </w:rPr>
        <w:t>浙江中医药大学附属第一医院、</w:t>
      </w:r>
      <w:r>
        <w:rPr>
          <w:rFonts w:hint="eastAsia" w:ascii="宋体" w:hAnsi="宋体" w:eastAsia="宋体" w:cs="宋体"/>
          <w:color w:val="auto"/>
          <w:sz w:val="21"/>
          <w:szCs w:val="21"/>
        </w:rPr>
        <w:t>甘肃省肿瘤医院、</w:t>
      </w:r>
      <w:r>
        <w:rPr>
          <w:rFonts w:hint="eastAsia" w:hAnsi="宋体" w:cs="宋体"/>
          <w:color w:val="auto"/>
          <w:sz w:val="21"/>
          <w:szCs w:val="21"/>
          <w:lang w:val="en-US" w:eastAsia="zh-CN"/>
        </w:rPr>
        <w:t>郑州大学</w:t>
      </w:r>
      <w:r>
        <w:rPr>
          <w:rFonts w:hint="eastAsia" w:ascii="宋体" w:hAnsi="宋体" w:eastAsia="宋体" w:cs="宋体"/>
          <w:color w:val="auto"/>
          <w:sz w:val="21"/>
          <w:szCs w:val="21"/>
        </w:rPr>
        <w:t>食管癌防治国家重点实验室</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中日友好医院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河南省</w:t>
      </w:r>
      <w:r>
        <w:rPr>
          <w:rFonts w:hint="eastAsia" w:ascii="宋体" w:hAnsi="宋体" w:eastAsia="宋体" w:cs="宋体"/>
          <w:color w:val="auto"/>
          <w:sz w:val="21"/>
          <w:szCs w:val="21"/>
          <w:lang w:val="en-US" w:eastAsia="zh-CN"/>
        </w:rPr>
        <w:t>人民</w:t>
      </w:r>
      <w:r>
        <w:rPr>
          <w:rFonts w:hint="eastAsia" w:ascii="宋体" w:hAnsi="宋体" w:eastAsia="宋体" w:cs="宋体"/>
          <w:color w:val="auto"/>
          <w:sz w:val="21"/>
          <w:szCs w:val="21"/>
        </w:rPr>
        <w:t>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广州中医药大学第一附属院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江苏省中西医结合医院</w:t>
      </w:r>
      <w:r>
        <w:rPr>
          <w:rFonts w:hint="eastAsia" w:hAnsi="宋体" w:cs="宋体"/>
          <w:color w:val="auto"/>
          <w:sz w:val="21"/>
          <w:szCs w:val="21"/>
          <w:lang w:eastAsia="zh-CN"/>
        </w:rPr>
        <w:t>、</w:t>
      </w:r>
      <w:r>
        <w:rPr>
          <w:rFonts w:hint="eastAsia" w:ascii="宋体" w:hAnsi="宋体" w:eastAsia="宋体" w:cs="宋体"/>
          <w:color w:val="auto"/>
          <w:sz w:val="21"/>
          <w:szCs w:val="21"/>
        </w:rPr>
        <w:t>安徽中医药大学第一附属医院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河北医科大学第四医院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福建中医药大学附属人民医院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陕西省中医院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四川省肿瘤医院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山西省中医院、河南省肿瘤医院、河南科技大学第一附属医院、郑州大学第一附属医院、</w:t>
      </w:r>
      <w:r>
        <w:rPr>
          <w:rFonts w:hint="eastAsia" w:hAnsi="宋体" w:cs="宋体"/>
          <w:color w:val="auto"/>
          <w:sz w:val="21"/>
          <w:szCs w:val="21"/>
          <w:lang w:val="en-US" w:eastAsia="zh-CN"/>
        </w:rPr>
        <w:t>河南中医药大学、</w:t>
      </w:r>
      <w:bookmarkStart w:id="36" w:name="_GoBack"/>
      <w:bookmarkEnd w:id="36"/>
      <w:r>
        <w:rPr>
          <w:rFonts w:hint="eastAsia" w:ascii="宋体" w:hAnsi="宋体" w:eastAsia="宋体" w:cs="宋体"/>
          <w:color w:val="auto"/>
          <w:sz w:val="21"/>
          <w:szCs w:val="21"/>
          <w:lang w:val="en-US" w:eastAsia="zh-CN"/>
        </w:rPr>
        <w:t>河南中医药大学第一附属医院、河南中医药大学第三附属医院</w:t>
      </w:r>
      <w:r>
        <w:rPr>
          <w:rFonts w:hint="eastAsia" w:hAnsi="宋体" w:cs="宋体"/>
          <w:color w:val="auto"/>
          <w:sz w:val="21"/>
          <w:szCs w:val="21"/>
          <w:lang w:val="en-US" w:eastAsia="zh-CN"/>
        </w:rPr>
        <w:t>。</w:t>
      </w:r>
    </w:p>
    <w:p>
      <w:pPr>
        <w:pStyle w:val="21"/>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本文件主要起草人：郑玉玲、</w:t>
      </w:r>
      <w:r>
        <w:rPr>
          <w:rFonts w:hint="eastAsia" w:ascii="宋体" w:hAnsi="宋体" w:eastAsia="宋体" w:cs="宋体"/>
          <w:b w:val="0"/>
          <w:bCs w:val="0"/>
          <w:color w:val="auto"/>
          <w:sz w:val="21"/>
          <w:szCs w:val="21"/>
          <w:lang w:val="en-US" w:eastAsia="zh-CN"/>
        </w:rPr>
        <w:t>舒琦瑾</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lang w:val="en-US" w:eastAsia="zh-CN"/>
        </w:rPr>
        <w:t>仓顺东</w:t>
      </w:r>
      <w:r>
        <w:rPr>
          <w:rFonts w:hint="eastAsia" w:ascii="宋体" w:hAnsi="宋体" w:eastAsia="宋体" w:cs="宋体"/>
          <w:b w:val="0"/>
          <w:bCs w:val="0"/>
          <w:color w:val="auto"/>
          <w:sz w:val="21"/>
          <w:szCs w:val="21"/>
        </w:rPr>
        <w:t>、薛文翰、周超锋</w:t>
      </w:r>
    </w:p>
    <w:p>
      <w:pPr>
        <w:pStyle w:val="21"/>
        <w:keepNext w:val="0"/>
        <w:keepLines w:val="0"/>
        <w:pageBreakBefore w:val="0"/>
        <w:widowControl/>
        <w:kinsoku/>
        <w:wordWrap/>
        <w:overflowPunct/>
        <w:topLinePunct w:val="0"/>
        <w:autoSpaceDE w:val="0"/>
        <w:autoSpaceDN w:val="0"/>
        <w:bidi w:val="0"/>
        <w:adjustRightInd/>
        <w:snapToGrid/>
        <w:spacing w:line="360" w:lineRule="exact"/>
        <w:ind w:firstLine="420"/>
        <w:textAlignment w:val="auto"/>
        <w:rPr>
          <w:rFonts w:hint="default" w:ascii="宋体" w:hAnsi="宋体" w:eastAsia="宋体" w:cs="宋体"/>
          <w:b w:val="0"/>
          <w:bCs w:val="0"/>
          <w:color w:val="auto"/>
          <w:sz w:val="21"/>
          <w:szCs w:val="21"/>
          <w:lang w:val="en-US" w:eastAsia="zh-CN"/>
        </w:rPr>
      </w:pPr>
      <w:r>
        <w:rPr>
          <w:rFonts w:hint="eastAsia" w:hAnsi="宋体" w:cs="宋体"/>
          <w:b w:val="0"/>
          <w:bCs w:val="0"/>
          <w:color w:val="auto"/>
          <w:sz w:val="21"/>
          <w:szCs w:val="21"/>
          <w:lang w:val="en-US" w:eastAsia="zh-CN"/>
        </w:rPr>
        <w:t>本文件参与</w:t>
      </w:r>
      <w:r>
        <w:rPr>
          <w:rFonts w:hint="eastAsia" w:ascii="宋体" w:hAnsi="宋体" w:eastAsia="宋体" w:cs="宋体"/>
          <w:b w:val="0"/>
          <w:bCs w:val="0"/>
          <w:color w:val="auto"/>
          <w:sz w:val="21"/>
          <w:szCs w:val="21"/>
        </w:rPr>
        <w:t>起草人（按姓氏笔画为序）：马纯政</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王立东、</w:t>
      </w:r>
      <w:r>
        <w:rPr>
          <w:rFonts w:hint="eastAsia" w:ascii="宋体" w:hAnsi="宋体" w:eastAsia="宋体" w:cs="宋体"/>
          <w:b w:val="0"/>
          <w:bCs w:val="0"/>
          <w:color w:val="auto"/>
          <w:sz w:val="21"/>
          <w:szCs w:val="21"/>
        </w:rPr>
        <w:t>王祥麒</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王涛</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王鑫</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刘冰熔、</w:t>
      </w:r>
      <w:r>
        <w:rPr>
          <w:rFonts w:hint="eastAsia" w:ascii="宋体" w:hAnsi="宋体" w:eastAsia="宋体" w:cs="宋体"/>
          <w:b w:val="0"/>
          <w:bCs w:val="0"/>
          <w:color w:val="auto"/>
          <w:sz w:val="21"/>
          <w:szCs w:val="21"/>
        </w:rPr>
        <w:t>刘丽坤</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刘怀民</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刘培民</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刘君颖、</w:t>
      </w:r>
      <w:r>
        <w:rPr>
          <w:rFonts w:hint="eastAsia" w:hAnsi="宋体" w:cs="宋体"/>
          <w:b w:val="0"/>
          <w:bCs w:val="0"/>
          <w:color w:val="auto"/>
          <w:sz w:val="21"/>
          <w:szCs w:val="21"/>
          <w:lang w:val="en-US" w:eastAsia="zh-CN"/>
        </w:rPr>
        <w:t>孙宏新、</w:t>
      </w:r>
      <w:r>
        <w:rPr>
          <w:rFonts w:hint="eastAsia" w:ascii="宋体" w:hAnsi="宋体" w:eastAsia="宋体" w:cs="宋体"/>
          <w:b w:val="0"/>
          <w:bCs w:val="0"/>
          <w:color w:val="auto"/>
          <w:sz w:val="21"/>
          <w:szCs w:val="21"/>
        </w:rPr>
        <w:t>闫国立</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李平</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李晶</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李寒冰</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李洪霖、</w:t>
      </w:r>
      <w:r>
        <w:rPr>
          <w:rFonts w:hint="eastAsia" w:hAnsi="宋体" w:cs="宋体"/>
          <w:b w:val="0"/>
          <w:bCs w:val="0"/>
          <w:color w:val="auto"/>
          <w:sz w:val="21"/>
          <w:szCs w:val="21"/>
          <w:lang w:val="en-US" w:eastAsia="zh-CN"/>
        </w:rPr>
        <w:t>李德亮、李振华、</w:t>
      </w:r>
      <w:r>
        <w:rPr>
          <w:rFonts w:hint="eastAsia" w:ascii="宋体" w:hAnsi="宋体" w:eastAsia="宋体" w:cs="宋体"/>
          <w:b w:val="0"/>
          <w:bCs w:val="0"/>
          <w:color w:val="auto"/>
          <w:sz w:val="21"/>
          <w:szCs w:val="21"/>
          <w:lang w:val="en-US" w:eastAsia="zh-CN"/>
        </w:rPr>
        <w:t>许彦超、</w:t>
      </w:r>
      <w:r>
        <w:rPr>
          <w:rFonts w:hint="eastAsia" w:ascii="宋体" w:hAnsi="宋体" w:eastAsia="宋体" w:cs="宋体"/>
          <w:b w:val="0"/>
          <w:bCs w:val="0"/>
          <w:color w:val="auto"/>
          <w:sz w:val="21"/>
          <w:szCs w:val="21"/>
        </w:rPr>
        <w:t>陈武进</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陈玉龙</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陈晓琦</w:t>
      </w:r>
      <w:r>
        <w:rPr>
          <w:rFonts w:hint="eastAsia" w:ascii="宋体" w:hAnsi="宋体" w:eastAsia="宋体" w:cs="宋体"/>
          <w:b w:val="0"/>
          <w:bCs w:val="0"/>
          <w:color w:val="auto"/>
          <w:sz w:val="21"/>
          <w:szCs w:val="21"/>
          <w:lang w:eastAsia="zh-CN"/>
        </w:rPr>
        <w:t>、</w:t>
      </w:r>
      <w:r>
        <w:rPr>
          <w:rFonts w:hint="eastAsia" w:hAnsi="宋体" w:cs="宋体"/>
          <w:b w:val="0"/>
          <w:bCs w:val="0"/>
          <w:color w:val="auto"/>
          <w:sz w:val="21"/>
          <w:szCs w:val="21"/>
          <w:lang w:val="en-US" w:eastAsia="zh-CN"/>
        </w:rPr>
        <w:t>张勤生、</w:t>
      </w:r>
      <w:r>
        <w:rPr>
          <w:rFonts w:hint="eastAsia" w:ascii="宋体" w:hAnsi="宋体" w:eastAsia="宋体" w:cs="宋体"/>
          <w:b w:val="0"/>
          <w:bCs w:val="0"/>
          <w:color w:val="auto"/>
          <w:sz w:val="21"/>
          <w:szCs w:val="21"/>
        </w:rPr>
        <w:t>张瑞</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张娟</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张亚玲、</w:t>
      </w:r>
      <w:r>
        <w:rPr>
          <w:rFonts w:hint="eastAsia" w:ascii="宋体" w:hAnsi="宋体" w:eastAsia="宋体" w:cs="宋体"/>
          <w:b w:val="0"/>
          <w:bCs w:val="0"/>
          <w:color w:val="auto"/>
          <w:sz w:val="21"/>
          <w:szCs w:val="21"/>
        </w:rPr>
        <w:t>宋学坤</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杨晨光</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杨祖贻</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林丽珠</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周世繁</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娄彦妮</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贾立群</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贾瑞诺、</w:t>
      </w:r>
      <w:r>
        <w:rPr>
          <w:rFonts w:hint="eastAsia" w:ascii="宋体" w:hAnsi="宋体" w:eastAsia="宋体" w:cs="宋体"/>
          <w:b w:val="0"/>
          <w:bCs w:val="0"/>
          <w:color w:val="auto"/>
          <w:sz w:val="21"/>
          <w:szCs w:val="21"/>
        </w:rPr>
        <w:t>郭志忠</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郭军辉、高社干、</w:t>
      </w:r>
      <w:r>
        <w:rPr>
          <w:rFonts w:hint="eastAsia" w:ascii="宋体" w:hAnsi="宋体" w:eastAsia="宋体" w:cs="宋体"/>
          <w:b w:val="0"/>
          <w:bCs w:val="0"/>
          <w:color w:val="auto"/>
          <w:sz w:val="21"/>
          <w:szCs w:val="21"/>
        </w:rPr>
        <w:t>徐学琴</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崔阳阳、</w:t>
      </w:r>
      <w:r>
        <w:rPr>
          <w:rFonts w:hint="eastAsia" w:ascii="宋体" w:hAnsi="宋体" w:eastAsia="宋体" w:cs="宋体"/>
          <w:b w:val="0"/>
          <w:bCs w:val="0"/>
          <w:color w:val="auto"/>
          <w:sz w:val="21"/>
          <w:szCs w:val="21"/>
        </w:rPr>
        <w:t>蒋士卿</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霍介格</w:t>
      </w:r>
      <w:r>
        <w:rPr>
          <w:rFonts w:hint="eastAsia" w:ascii="宋体" w:hAnsi="宋体" w:eastAsia="宋体" w:cs="宋体"/>
          <w:b w:val="0"/>
          <w:bCs w:val="0"/>
          <w:color w:val="auto"/>
          <w:sz w:val="21"/>
          <w:szCs w:val="21"/>
          <w:lang w:val="en-US" w:eastAsia="zh-CN"/>
        </w:rPr>
        <w:t>。</w:t>
      </w:r>
    </w:p>
    <w:p>
      <w:pPr>
        <w:pStyle w:val="21"/>
        <w:keepLines w:val="0"/>
        <w:pageBreakBefore w:val="0"/>
        <w:kinsoku/>
        <w:overflowPunct/>
        <w:topLinePunct w:val="0"/>
        <w:bidi w:val="0"/>
        <w:adjustRightInd/>
        <w:spacing w:line="360" w:lineRule="exact"/>
        <w:ind w:firstLine="420"/>
        <w:rPr>
          <w:rFonts w:hint="eastAsia" w:ascii="宋体" w:hAnsi="宋体" w:eastAsia="宋体" w:cs="宋体"/>
          <w:color w:val="auto"/>
          <w:sz w:val="24"/>
          <w:szCs w:val="24"/>
        </w:rPr>
      </w:pPr>
    </w:p>
    <w:p>
      <w:pPr>
        <w:pStyle w:val="21"/>
        <w:keepLines w:val="0"/>
        <w:pageBreakBefore w:val="0"/>
        <w:kinsoku/>
        <w:overflowPunct/>
        <w:topLinePunct w:val="0"/>
        <w:bidi w:val="0"/>
        <w:adjustRightInd/>
        <w:spacing w:line="360" w:lineRule="exact"/>
        <w:ind w:firstLine="420"/>
        <w:rPr>
          <w:rFonts w:hint="eastAsia" w:ascii="宋体" w:hAnsi="宋体" w:eastAsia="宋体" w:cs="宋体"/>
          <w:color w:val="auto"/>
          <w:sz w:val="24"/>
          <w:szCs w:val="24"/>
        </w:rPr>
      </w:pPr>
    </w:p>
    <w:p>
      <w:pPr>
        <w:pStyle w:val="21"/>
        <w:keepLines w:val="0"/>
        <w:pageBreakBefore w:val="0"/>
        <w:kinsoku/>
        <w:overflowPunct/>
        <w:topLinePunct w:val="0"/>
        <w:bidi w:val="0"/>
        <w:adjustRightInd/>
        <w:spacing w:line="360" w:lineRule="exact"/>
        <w:ind w:firstLine="420"/>
        <w:rPr>
          <w:rFonts w:hint="eastAsia" w:ascii="宋体" w:hAnsi="宋体" w:eastAsia="宋体" w:cs="宋体"/>
          <w:color w:val="auto"/>
          <w:sz w:val="24"/>
          <w:szCs w:val="24"/>
        </w:rPr>
      </w:pPr>
    </w:p>
    <w:p>
      <w:pPr>
        <w:pStyle w:val="21"/>
        <w:keepLines w:val="0"/>
        <w:pageBreakBefore w:val="0"/>
        <w:kinsoku/>
        <w:overflowPunct/>
        <w:topLinePunct w:val="0"/>
        <w:bidi w:val="0"/>
        <w:adjustRightInd/>
        <w:spacing w:line="360" w:lineRule="exact"/>
        <w:ind w:firstLine="420"/>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28"/>
        <w:keepLines w:val="0"/>
        <w:pageBreakBefore w:val="0"/>
        <w:kinsoku/>
        <w:overflowPunct/>
        <w:topLinePunct w:val="0"/>
        <w:bidi w:val="0"/>
        <w:adjustRightInd/>
        <w:spacing w:line="360" w:lineRule="exact"/>
        <w:rPr>
          <w:rFonts w:hint="eastAsia" w:ascii="黑体" w:hAnsi="黑体" w:eastAsia="黑体" w:cs="黑体"/>
          <w:color w:val="auto"/>
        </w:rPr>
      </w:pPr>
      <w:bookmarkStart w:id="3" w:name="_Toc509933847"/>
      <w:bookmarkStart w:id="4" w:name="_Toc436205034"/>
      <w:bookmarkStart w:id="5" w:name="_Toc510534526"/>
      <w:r>
        <w:rPr>
          <w:rFonts w:hint="eastAsia" w:ascii="黑体" w:hAnsi="黑体" w:eastAsia="黑体" w:cs="黑体"/>
          <w:color w:val="auto"/>
        </w:rPr>
        <w:t>引</w:t>
      </w:r>
      <w:bookmarkStart w:id="6" w:name="BKYY"/>
      <w:r>
        <w:rPr>
          <w:rFonts w:hint="eastAsia" w:ascii="黑体" w:hAnsi="黑体" w:eastAsia="黑体" w:cs="黑体"/>
          <w:color w:val="auto"/>
        </w:rPr>
        <w:t> 言</w:t>
      </w:r>
      <w:bookmarkEnd w:id="3"/>
      <w:bookmarkEnd w:id="4"/>
      <w:bookmarkEnd w:id="5"/>
      <w:bookmarkEnd w:id="6"/>
    </w:p>
    <w:p>
      <w:pPr>
        <w:pStyle w:val="21"/>
        <w:keepLines w:val="0"/>
        <w:pageBreakBefore w:val="0"/>
        <w:kinsoku/>
        <w:overflowPunct/>
        <w:topLinePunct w:val="0"/>
        <w:bidi w:val="0"/>
        <w:adjustRightInd/>
        <w:spacing w:line="360" w:lineRule="exact"/>
        <w:ind w:firstLine="199" w:firstLineChars="95"/>
        <w:rPr>
          <w:rFonts w:hint="eastAsia" w:ascii="宋体" w:hAnsi="宋体" w:eastAsia="宋体" w:cs="宋体"/>
          <w:color w:val="auto"/>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中医“治未病”思想重在强调“未病先防”、“已病防变</w:t>
      </w:r>
      <w:r>
        <w:rPr>
          <w:rFonts w:hint="eastAsia" w:ascii="宋体" w:hAnsi="宋体" w:eastAsia="宋体" w:cs="宋体"/>
          <w:b w:val="0"/>
          <w:bCs w:val="0"/>
          <w:color w:val="auto"/>
          <w:sz w:val="21"/>
          <w:szCs w:val="21"/>
          <w:lang w:val="en-US" w:eastAsia="zh-CN"/>
        </w:rPr>
        <w:t>”、“瘥后防复”。</w:t>
      </w:r>
      <w:r>
        <w:rPr>
          <w:rFonts w:hint="eastAsia" w:ascii="宋体" w:hAnsi="宋体" w:eastAsia="宋体" w:cs="宋体"/>
          <w:color w:val="auto"/>
          <w:sz w:val="21"/>
          <w:szCs w:val="21"/>
          <w:lang w:val="en-US" w:eastAsia="zh-CN"/>
        </w:rPr>
        <w:t>这与现代疾病的三级预防思想有异曲同工之处：一级预防即病因预防；二级预防是指在疾病的临床前期做好早期发现、早期诊断、早期治疗的“三早”预防措施；三级预防则是促进恢复、预防复发。这对食管癌前病变的临床防治、用药、调养均具有重要的指导意义</w:t>
      </w:r>
      <w:r>
        <w:rPr>
          <w:rFonts w:hint="eastAsia" w:ascii="宋体" w:hAnsi="宋体" w:eastAsia="宋体" w:cs="宋体"/>
          <w:color w:val="auto"/>
          <w:sz w:val="21"/>
          <w:szCs w:val="21"/>
          <w:vertAlign w:val="superscript"/>
          <w:lang w:val="en-US" w:eastAsia="zh-CN"/>
        </w:rPr>
        <w:t>[1]</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我国食管癌的发病率居世界前列</w:t>
      </w:r>
      <w:r>
        <w:rPr>
          <w:rFonts w:hint="eastAsia" w:ascii="宋体" w:hAnsi="宋体" w:eastAsia="宋体" w:cs="宋体"/>
          <w:color w:val="auto"/>
          <w:sz w:val="21"/>
          <w:szCs w:val="21"/>
          <w:vertAlign w:val="superscript"/>
          <w:lang w:val="en-US" w:eastAsia="zh-CN"/>
        </w:rPr>
        <w:t>[2]</w:t>
      </w:r>
      <w:r>
        <w:rPr>
          <w:rFonts w:hint="eastAsia" w:ascii="宋体" w:hAnsi="宋体" w:eastAsia="宋体" w:cs="宋体"/>
          <w:color w:val="auto"/>
          <w:sz w:val="21"/>
          <w:szCs w:val="21"/>
          <w:lang w:val="en-US" w:eastAsia="zh-CN"/>
        </w:rPr>
        <w:t>，防治食管癌前病变是降低食管癌发病的关键。</w:t>
      </w:r>
      <w:r>
        <w:rPr>
          <w:rFonts w:hint="eastAsia" w:ascii="宋体" w:hAnsi="宋体" w:eastAsia="宋体" w:cs="宋体"/>
          <w:color w:val="auto"/>
          <w:kern w:val="0"/>
          <w:sz w:val="21"/>
          <w:szCs w:val="21"/>
          <w:lang w:val="en-US" w:eastAsia="zh-CN" w:bidi="ar"/>
        </w:rPr>
        <w:t>目前缺乏针对</w:t>
      </w:r>
      <w:r>
        <w:rPr>
          <w:rFonts w:hint="eastAsia" w:ascii="宋体" w:hAnsi="宋体" w:eastAsia="宋体" w:cs="宋体"/>
          <w:color w:val="auto"/>
          <w:sz w:val="21"/>
          <w:szCs w:val="21"/>
          <w:lang w:val="en-US" w:eastAsia="zh-CN"/>
        </w:rPr>
        <w:t>食管癌前病变</w:t>
      </w:r>
      <w:r>
        <w:rPr>
          <w:rFonts w:hint="eastAsia" w:ascii="宋体" w:hAnsi="宋体" w:eastAsia="宋体" w:cs="宋体"/>
          <w:color w:val="auto"/>
          <w:kern w:val="0"/>
          <w:sz w:val="21"/>
          <w:szCs w:val="21"/>
          <w:lang w:val="en-US" w:eastAsia="zh-CN" w:bidi="ar"/>
        </w:rPr>
        <w:t>干预的药物及手段，制定</w:t>
      </w:r>
      <w:r>
        <w:rPr>
          <w:rFonts w:hint="eastAsia" w:ascii="宋体" w:hAnsi="宋体" w:eastAsia="宋体" w:cs="宋体"/>
          <w:color w:val="auto"/>
          <w:sz w:val="21"/>
          <w:szCs w:val="21"/>
          <w:lang w:val="en-US" w:eastAsia="zh-CN"/>
        </w:rPr>
        <w:t>《食管癌前病变治未病干预方案》</w:t>
      </w:r>
      <w:r>
        <w:rPr>
          <w:rFonts w:hint="eastAsia" w:ascii="宋体" w:hAnsi="宋体" w:eastAsia="宋体" w:cs="宋体"/>
          <w:color w:val="auto"/>
          <w:kern w:val="0"/>
          <w:sz w:val="21"/>
          <w:szCs w:val="21"/>
          <w:lang w:val="en-US" w:eastAsia="zh-CN" w:bidi="ar"/>
        </w:rPr>
        <w:t>是临床的迫切需要。有研究表明</w:t>
      </w:r>
      <w:r>
        <w:rPr>
          <w:rFonts w:hint="eastAsia" w:ascii="宋体" w:hAnsi="宋体" w:eastAsia="宋体" w:cs="宋体"/>
          <w:color w:val="auto"/>
          <w:sz w:val="21"/>
          <w:szCs w:val="21"/>
          <w:lang w:val="en-US" w:eastAsia="zh-CN"/>
        </w:rPr>
        <w:t>中医药对食管癌前病变具有较好的临床疗效</w:t>
      </w:r>
      <w:r>
        <w:rPr>
          <w:rFonts w:hint="eastAsia" w:ascii="宋体" w:hAnsi="宋体" w:eastAsia="宋体" w:cs="宋体"/>
          <w:color w:val="auto"/>
          <w:sz w:val="21"/>
          <w:szCs w:val="21"/>
          <w:vertAlign w:val="superscript"/>
          <w:lang w:val="en-US" w:eastAsia="zh-CN"/>
        </w:rPr>
        <w:t>[3-6]</w:t>
      </w:r>
      <w:r>
        <w:rPr>
          <w:rFonts w:hint="eastAsia" w:ascii="宋体" w:hAnsi="宋体" w:eastAsia="宋体" w:cs="宋体"/>
          <w:color w:val="auto"/>
          <w:sz w:val="21"/>
          <w:szCs w:val="21"/>
          <w:lang w:val="en-US" w:eastAsia="zh-CN"/>
        </w:rPr>
        <w:t>，我们应当挖掘和发挥传统中医学在“治未病”中的精华和特色，开展食管癌前病变的防治工作。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为进一步完善诊疗规范，指导我国食管癌前病变防治工作，由河南省中医院（河南中医药大学第二附属医院）牵头，组织成立了由肿瘤内科、肿瘤外科、消化内科、内镜室、放疗科、基础医学、方法学、循证医学等多学科专家人员组成的《食管癌前病变治未病干预方案》工作组。依据指南制定方法、流程及中华中医药学会团体标准管理办法，基于当前最佳证据，结合中医药干预食管癌前病变的特点和我国临床实践现状制定了本方案。本文件作为推荐性团体标准，</w:t>
      </w:r>
      <w:r>
        <w:rPr>
          <w:rFonts w:hint="eastAsia" w:ascii="宋体" w:hAnsi="宋体" w:eastAsia="宋体" w:cs="宋体"/>
          <w:color w:val="auto"/>
          <w:kern w:val="2"/>
          <w:sz w:val="21"/>
          <w:szCs w:val="21"/>
          <w:lang w:val="en-US" w:eastAsia="zh-CN" w:bidi="ar-SA"/>
        </w:rPr>
        <w:t>对食管癌前病变的中医病因病机、辨证分型、治则方药及干预措施进行梳理，</w:t>
      </w:r>
      <w:r>
        <w:rPr>
          <w:rFonts w:hint="eastAsia" w:ascii="宋体" w:hAnsi="宋体" w:eastAsia="宋体" w:cs="宋体"/>
          <w:color w:val="auto"/>
          <w:sz w:val="21"/>
          <w:szCs w:val="21"/>
          <w:lang w:val="en-US" w:eastAsia="zh-CN"/>
        </w:rPr>
        <w:t>从“未病先防”、“已病防变</w:t>
      </w:r>
      <w:r>
        <w:rPr>
          <w:rFonts w:hint="eastAsia" w:ascii="宋体" w:hAnsi="宋体" w:eastAsia="宋体" w:cs="宋体"/>
          <w:b w:val="0"/>
          <w:bCs w:val="0"/>
          <w:color w:val="auto"/>
          <w:sz w:val="21"/>
          <w:szCs w:val="21"/>
          <w:lang w:val="en-US" w:eastAsia="zh-CN"/>
        </w:rPr>
        <w:t>”、“瘥后防复”三方面分别进行中医药的干预，并结合了现代医学食管癌前病变的防治内容，</w:t>
      </w:r>
      <w:r>
        <w:rPr>
          <w:rFonts w:hint="eastAsia" w:ascii="宋体" w:hAnsi="宋体" w:eastAsia="宋体" w:cs="宋体"/>
          <w:color w:val="auto"/>
          <w:kern w:val="2"/>
          <w:sz w:val="21"/>
          <w:szCs w:val="21"/>
          <w:lang w:val="en-US" w:eastAsia="zh-CN" w:bidi="ar-SA"/>
        </w:rPr>
        <w:t>形成具有循证医学证据的治未病干预方案，</w:t>
      </w:r>
      <w:r>
        <w:rPr>
          <w:rFonts w:hint="eastAsia" w:ascii="宋体" w:hAnsi="宋体" w:eastAsia="宋体" w:cs="宋体"/>
          <w:color w:val="auto"/>
          <w:sz w:val="21"/>
          <w:szCs w:val="21"/>
          <w:lang w:val="en-US" w:eastAsia="zh-CN"/>
        </w:rPr>
        <w:t>为从事食管癌前病变防治的中医、中西医结合临床医师提供指导性意见，并在未来实施推广过程中不断更新和修订。</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p>
    <w:p>
      <w:pPr>
        <w:pStyle w:val="2"/>
        <w:keepLines w:val="0"/>
        <w:pageBreakBefore w:val="0"/>
        <w:kinsoku/>
        <w:overflowPunct/>
        <w:topLinePunct w:val="0"/>
        <w:bidi w:val="0"/>
        <w:adjustRightInd/>
        <w:spacing w:line="360" w:lineRule="exact"/>
        <w:rPr>
          <w:rFonts w:hint="eastAsia" w:ascii="宋体" w:hAnsi="宋体" w:eastAsia="宋体" w:cs="宋体"/>
          <w:color w:val="auto"/>
          <w:sz w:val="21"/>
          <w:szCs w:val="21"/>
          <w:lang w:val="en-US" w:eastAsia="zh-CN"/>
        </w:rPr>
        <w:sectPr>
          <w:footerReference r:id="rId6" w:type="default"/>
          <w:pgSz w:w="11906" w:h="16838"/>
          <w:pgMar w:top="1440" w:right="1797" w:bottom="1440" w:left="1797" w:header="1418" w:footer="1134" w:gutter="0"/>
          <w:pgNumType w:fmt="upperRoman" w:start="1"/>
          <w:cols w:space="720" w:num="1"/>
          <w:formProt w:val="0"/>
          <w:docGrid w:linePitch="312" w:charSpace="0"/>
        </w:sectPr>
      </w:pPr>
    </w:p>
    <w:tbl>
      <w:tblPr>
        <w:tblStyle w:val="12"/>
        <w:tblW w:w="0" w:type="auto"/>
        <w:tblInd w:w="0" w:type="dxa"/>
        <w:tblLayout w:type="fixed"/>
        <w:tblCellMar>
          <w:top w:w="0" w:type="dxa"/>
          <w:left w:w="0" w:type="dxa"/>
          <w:bottom w:w="0" w:type="dxa"/>
          <w:right w:w="0" w:type="dxa"/>
        </w:tblCellMar>
      </w:tblPr>
      <w:tblGrid>
        <w:gridCol w:w="9356"/>
      </w:tblGrid>
      <w:tr>
        <w:trPr>
          <w:trHeight w:val="360" w:hRule="exact"/>
        </w:trPr>
        <w:tc>
          <w:tcPr>
            <w:tcW w:w="9356" w:type="dxa"/>
            <w:vAlign w:val="center"/>
          </w:tcPr>
          <w:p>
            <w:pPr>
              <w:pStyle w:val="25"/>
              <w:keepLines w:val="0"/>
              <w:pageBreakBefore w:val="0"/>
              <w:kinsoku/>
              <w:overflowPunct/>
              <w:topLinePunct w:val="0"/>
              <w:bidi w:val="0"/>
              <w:adjustRightInd/>
              <w:spacing w:before="0" w:after="0" w:line="360" w:lineRule="exact"/>
              <w:rPr>
                <w:rFonts w:hint="eastAsia" w:ascii="宋体" w:hAnsi="宋体" w:eastAsia="宋体" w:cs="宋体"/>
                <w:color w:val="auto"/>
                <w:szCs w:val="32"/>
                <w:lang w:val="en-US" w:eastAsia="zh-CN"/>
              </w:rPr>
            </w:pPr>
            <w:r>
              <w:rPr>
                <w:rFonts w:hint="eastAsia" w:ascii="黑体" w:hAnsi="黑体" w:eastAsia="黑体" w:cs="黑体"/>
                <w:color w:val="auto"/>
              </w:rPr>
              <w:t>食管癌</w:t>
            </w:r>
            <w:r>
              <w:rPr>
                <w:rFonts w:hint="eastAsia" w:ascii="黑体" w:hAnsi="黑体" w:eastAsia="黑体" w:cs="黑体"/>
                <w:color w:val="auto"/>
                <w:lang w:val="en-US" w:eastAsia="zh-CN"/>
              </w:rPr>
              <w:t>前病变治未病干预方案</w:t>
            </w: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rPr>
                <w:rFonts w:hint="eastAsia" w:ascii="宋体" w:hAnsi="宋体" w:eastAsia="宋体" w:cs="宋体"/>
                <w:color w:val="auto"/>
              </w:rPr>
            </w:pPr>
          </w:p>
          <w:p>
            <w:pPr>
              <w:keepLines w:val="0"/>
              <w:pageBreakBefore w:val="0"/>
              <w:kinsoku/>
              <w:overflowPunct/>
              <w:topLinePunct w:val="0"/>
              <w:bidi w:val="0"/>
              <w:adjustRightInd/>
              <w:spacing w:line="360" w:lineRule="exact"/>
              <w:jc w:val="center"/>
              <w:rPr>
                <w:rFonts w:hint="eastAsia" w:ascii="宋体" w:hAnsi="宋体" w:eastAsia="宋体" w:cs="宋体"/>
                <w:color w:val="auto"/>
                <w:sz w:val="32"/>
                <w:szCs w:val="32"/>
              </w:rPr>
            </w:pPr>
          </w:p>
        </w:tc>
      </w:tr>
      <w:tr>
        <w:tblPrEx>
          <w:tblCellMar>
            <w:top w:w="0" w:type="dxa"/>
            <w:left w:w="0" w:type="dxa"/>
            <w:bottom w:w="0" w:type="dxa"/>
            <w:right w:w="0" w:type="dxa"/>
          </w:tblCellMar>
        </w:tblPrEx>
        <w:trPr>
          <w:trHeight w:val="316" w:hRule="exact"/>
        </w:trPr>
        <w:tc>
          <w:tcPr>
            <w:tcW w:w="9356" w:type="dxa"/>
          </w:tcPr>
          <w:p>
            <w:pPr>
              <w:keepLines w:val="0"/>
              <w:pageBreakBefore w:val="0"/>
              <w:kinsoku/>
              <w:overflowPunct/>
              <w:topLinePunct w:val="0"/>
              <w:bidi w:val="0"/>
              <w:adjustRightInd/>
              <w:spacing w:line="360" w:lineRule="exact"/>
              <w:jc w:val="center"/>
              <w:rPr>
                <w:rFonts w:hint="eastAsia" w:ascii="宋体" w:hAnsi="宋体" w:eastAsia="宋体" w:cs="宋体"/>
                <w:color w:val="auto"/>
                <w:sz w:val="32"/>
                <w:szCs w:val="32"/>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sz w:val="21"/>
          <w:szCs w:val="21"/>
        </w:rPr>
      </w:pPr>
      <w:bookmarkStart w:id="7" w:name="_Toc459704603"/>
      <w:bookmarkStart w:id="8" w:name="_Toc510534528"/>
      <w:bookmarkStart w:id="9" w:name="_Toc459720143"/>
      <w:bookmarkStart w:id="10" w:name="_Toc459724774"/>
      <w:bookmarkStart w:id="11" w:name="_Toc509933849"/>
      <w:r>
        <w:rPr>
          <w:rFonts w:hint="eastAsia" w:ascii="黑体" w:hAnsi="黑体" w:eastAsia="黑体" w:cs="黑体"/>
          <w:color w:val="auto"/>
          <w:sz w:val="21"/>
          <w:szCs w:val="21"/>
        </w:rPr>
        <w:t>1</w:t>
      </w:r>
      <w:r>
        <w:rPr>
          <w:rFonts w:hint="eastAsia" w:ascii="黑体" w:hAnsi="黑体" w:eastAsia="黑体" w:cs="黑体"/>
          <w:color w:val="auto"/>
          <w:sz w:val="21"/>
          <w:szCs w:val="21"/>
          <w:lang w:val="en-US" w:eastAsia="zh-CN"/>
        </w:rPr>
        <w:t xml:space="preserve"> </w:t>
      </w:r>
      <w:r>
        <w:rPr>
          <w:rFonts w:hint="eastAsia" w:ascii="黑体" w:hAnsi="黑体" w:eastAsia="黑体" w:cs="黑体"/>
          <w:color w:val="auto"/>
          <w:sz w:val="21"/>
          <w:szCs w:val="21"/>
        </w:rPr>
        <w:t>范围</w:t>
      </w:r>
      <w:bookmarkEnd w:id="7"/>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rPr>
      </w:pPr>
      <w:bookmarkStart w:id="12" w:name="_Toc459720144"/>
      <w:bookmarkStart w:id="13" w:name="_Toc459724775"/>
      <w:bookmarkStart w:id="14" w:name="_Toc459704604"/>
      <w:r>
        <w:rPr>
          <w:rFonts w:hint="eastAsia" w:ascii="宋体" w:hAnsi="宋体" w:eastAsia="宋体" w:cs="宋体"/>
          <w:color w:val="auto"/>
          <w:sz w:val="21"/>
          <w:szCs w:val="21"/>
        </w:rPr>
        <w:t>本</w:t>
      </w:r>
      <w:r>
        <w:rPr>
          <w:rFonts w:hint="eastAsia" w:ascii="宋体" w:hAnsi="宋体" w:eastAsia="宋体" w:cs="宋体"/>
          <w:color w:val="auto"/>
          <w:sz w:val="21"/>
          <w:szCs w:val="21"/>
          <w:lang w:val="en-US" w:eastAsia="zh-CN"/>
        </w:rPr>
        <w:t>文件界定</w:t>
      </w:r>
      <w:r>
        <w:rPr>
          <w:rFonts w:hint="eastAsia" w:ascii="宋体" w:hAnsi="宋体" w:eastAsia="宋体" w:cs="宋体"/>
          <w:color w:val="auto"/>
          <w:sz w:val="21"/>
          <w:szCs w:val="21"/>
        </w:rPr>
        <w:t>了食管癌</w:t>
      </w:r>
      <w:r>
        <w:rPr>
          <w:rFonts w:hint="eastAsia" w:ascii="宋体" w:hAnsi="宋体" w:eastAsia="宋体" w:cs="宋体"/>
          <w:color w:val="auto"/>
          <w:sz w:val="21"/>
          <w:szCs w:val="21"/>
          <w:lang w:val="en-US" w:eastAsia="zh-CN"/>
        </w:rPr>
        <w:t>前病变的术语和定义，明确了食管癌前病变的病因病机、筛查、干预和随访。</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w:t>
      </w:r>
      <w:r>
        <w:rPr>
          <w:rFonts w:hint="eastAsia" w:ascii="宋体" w:hAnsi="宋体" w:eastAsia="宋体" w:cs="宋体"/>
          <w:color w:val="auto"/>
          <w:sz w:val="21"/>
          <w:szCs w:val="21"/>
          <w:lang w:val="en-US" w:eastAsia="zh-CN"/>
        </w:rPr>
        <w:t>文件</w:t>
      </w:r>
      <w:r>
        <w:rPr>
          <w:rFonts w:hint="eastAsia" w:ascii="宋体" w:hAnsi="宋体" w:eastAsia="宋体" w:cs="宋体"/>
          <w:color w:val="auto"/>
          <w:sz w:val="21"/>
          <w:szCs w:val="21"/>
        </w:rPr>
        <w:t>适用于</w:t>
      </w:r>
      <w:r>
        <w:rPr>
          <w:rFonts w:hint="eastAsia" w:ascii="宋体" w:hAnsi="宋体" w:eastAsia="宋体" w:cs="宋体"/>
          <w:color w:val="auto"/>
          <w:sz w:val="21"/>
          <w:szCs w:val="21"/>
          <w:lang w:val="en-US" w:eastAsia="zh-CN"/>
        </w:rPr>
        <w:t>食管癌前病变高危人群的预防干预和</w:t>
      </w:r>
      <w:r>
        <w:rPr>
          <w:rFonts w:hint="eastAsia" w:ascii="宋体" w:hAnsi="宋体" w:eastAsia="宋体" w:cs="宋体"/>
          <w:color w:val="auto"/>
          <w:sz w:val="21"/>
          <w:szCs w:val="21"/>
        </w:rPr>
        <w:t>食管癌</w:t>
      </w:r>
      <w:r>
        <w:rPr>
          <w:rFonts w:hint="eastAsia" w:ascii="宋体" w:hAnsi="宋体" w:eastAsia="宋体" w:cs="宋体"/>
          <w:color w:val="auto"/>
          <w:sz w:val="21"/>
          <w:szCs w:val="21"/>
          <w:lang w:val="en-US" w:eastAsia="zh-CN"/>
        </w:rPr>
        <w:t>前病变患者的中西医临床诊疗</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不适用于已经确诊的食管癌患者及食管癌康复患者。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本</w:t>
      </w:r>
      <w:r>
        <w:rPr>
          <w:rFonts w:hint="eastAsia" w:ascii="宋体" w:hAnsi="宋体" w:eastAsia="宋体" w:cs="宋体"/>
          <w:color w:val="auto"/>
          <w:sz w:val="21"/>
          <w:szCs w:val="21"/>
          <w:lang w:val="en-US" w:eastAsia="zh-CN"/>
        </w:rPr>
        <w:t>文件</w:t>
      </w:r>
      <w:r>
        <w:rPr>
          <w:rFonts w:hint="eastAsia" w:ascii="宋体" w:hAnsi="宋体" w:eastAsia="宋体" w:cs="宋体"/>
          <w:color w:val="auto"/>
          <w:sz w:val="21"/>
          <w:szCs w:val="21"/>
        </w:rPr>
        <w:t>适</w:t>
      </w:r>
      <w:r>
        <w:rPr>
          <w:rFonts w:hint="eastAsia" w:ascii="宋体" w:hAnsi="宋体" w:eastAsia="宋体" w:cs="宋体"/>
          <w:color w:val="auto"/>
          <w:sz w:val="21"/>
          <w:szCs w:val="21"/>
          <w:lang w:val="en-US" w:eastAsia="zh-CN"/>
        </w:rPr>
        <w:t>用于肿瘤科、消化</w:t>
      </w:r>
      <w:r>
        <w:rPr>
          <w:rFonts w:hint="eastAsia" w:ascii="宋体" w:hAnsi="宋体" w:eastAsia="宋体" w:cs="宋体"/>
          <w:color w:val="auto"/>
          <w:sz w:val="21"/>
          <w:szCs w:val="21"/>
        </w:rPr>
        <w:t>内科</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中医科、中西医结合科等相关科室和临床医师使用</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sz w:val="21"/>
          <w:szCs w:val="21"/>
        </w:rPr>
      </w:pPr>
      <w:bookmarkStart w:id="15" w:name="_Toc510534529"/>
      <w:bookmarkStart w:id="16" w:name="_Toc509933850"/>
      <w:r>
        <w:rPr>
          <w:rFonts w:hint="eastAsia" w:ascii="黑体" w:hAnsi="黑体" w:eastAsia="黑体" w:cs="黑体"/>
          <w:color w:val="auto"/>
          <w:sz w:val="21"/>
          <w:szCs w:val="21"/>
        </w:rPr>
        <w:t>2</w:t>
      </w:r>
      <w:r>
        <w:rPr>
          <w:rFonts w:hint="eastAsia" w:ascii="黑体" w:hAnsi="黑体" w:eastAsia="黑体" w:cs="黑体"/>
          <w:color w:val="auto"/>
          <w:sz w:val="21"/>
          <w:szCs w:val="21"/>
          <w:lang w:val="en-US" w:eastAsia="zh-CN"/>
        </w:rPr>
        <w:t xml:space="preserve"> </w:t>
      </w:r>
      <w:r>
        <w:rPr>
          <w:rFonts w:hint="eastAsia" w:ascii="黑体" w:hAnsi="黑体" w:eastAsia="黑体" w:cs="黑体"/>
          <w:color w:val="auto"/>
          <w:sz w:val="21"/>
          <w:szCs w:val="21"/>
        </w:rPr>
        <w:t>规范性引用文件</w:t>
      </w:r>
      <w:bookmarkEnd w:id="12"/>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bookmarkStart w:id="17" w:name="_Toc459704605"/>
      <w:bookmarkEnd w:id="17"/>
      <w:bookmarkStart w:id="18" w:name="_Toc459724776"/>
      <w:bookmarkStart w:id="19" w:name="_Toc459720145"/>
      <w:r>
        <w:rPr>
          <w:rFonts w:hint="eastAsia" w:ascii="宋体" w:hAnsi="宋体" w:eastAsia="宋体" w:cs="宋体"/>
          <w:color w:val="auto"/>
          <w:sz w:val="21"/>
          <w:szCs w:val="21"/>
        </w:rPr>
        <w:t>下列文件中的内容通过文中的规范性引用而构成本文件必不可少的条款。其中日期的引用文件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仅该日期对应的版本适用于本文件；不注日期的引用文件，其最新版本(包括所有的修改单)适用于本文件。</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1.1—2020 标准化工作导则第1部分：标准的结构和和起草规则</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hAnsi="宋体" w:eastAsia="宋体" w:cs="宋体"/>
          <w:color w:val="auto"/>
          <w:sz w:val="21"/>
          <w:szCs w:val="21"/>
          <w:lang w:val="en-US" w:eastAsia="zh-CN"/>
        </w:rPr>
      </w:pPr>
      <w:r>
        <w:rPr>
          <w:rFonts w:hint="eastAsia" w:ascii="宋体" w:hAnsi="宋体" w:eastAsia="宋体" w:cs="宋体"/>
          <w:color w:val="auto"/>
          <w:sz w:val="21"/>
          <w:szCs w:val="21"/>
        </w:rPr>
        <w:t xml:space="preserve">GB/T </w:t>
      </w:r>
      <w:r>
        <w:rPr>
          <w:rFonts w:hint="eastAsia" w:hAnsi="宋体" w:eastAsia="宋体" w:cs="宋体"/>
          <w:color w:val="auto"/>
          <w:sz w:val="21"/>
          <w:szCs w:val="21"/>
          <w:lang w:val="en-US" w:eastAsia="zh-CN"/>
        </w:rPr>
        <w:t>7714</w:t>
      </w:r>
      <w:r>
        <w:rPr>
          <w:rFonts w:hint="eastAsia" w:ascii="宋体" w:hAnsi="宋体" w:eastAsia="宋体" w:cs="宋体"/>
          <w:color w:val="auto"/>
          <w:sz w:val="21"/>
          <w:szCs w:val="21"/>
        </w:rPr>
        <w:t xml:space="preserve"> </w:t>
      </w:r>
      <w:r>
        <w:rPr>
          <w:rFonts w:hint="eastAsia" w:hAnsi="宋体" w:eastAsia="宋体" w:cs="宋体"/>
          <w:color w:val="auto"/>
          <w:sz w:val="21"/>
          <w:szCs w:val="21"/>
          <w:lang w:val="en-US" w:eastAsia="zh-CN"/>
        </w:rPr>
        <w:t>文后参考文献著录规则</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hAnsi="宋体" w:eastAsia="宋体" w:cs="宋体"/>
          <w:color w:val="auto"/>
          <w:sz w:val="21"/>
          <w:szCs w:val="21"/>
          <w:lang w:val="en-US" w:eastAsia="zh-CN"/>
        </w:rPr>
      </w:pPr>
      <w:r>
        <w:rPr>
          <w:rFonts w:hint="eastAsia" w:hAnsi="宋体" w:eastAsia="宋体" w:cs="宋体"/>
          <w:color w:val="auto"/>
          <w:sz w:val="21"/>
          <w:szCs w:val="21"/>
          <w:lang w:val="en-US" w:eastAsia="zh-CN"/>
        </w:rPr>
        <w:t>T/CACM 1066.1-1066.6-2018 中医治未病标准化工作指南</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default" w:hAnsi="宋体" w:eastAsia="宋体" w:cs="宋体"/>
          <w:color w:val="auto"/>
          <w:sz w:val="21"/>
          <w:szCs w:val="21"/>
          <w:lang w:val="en-US" w:eastAsia="zh-CN"/>
        </w:rPr>
      </w:pPr>
      <w:r>
        <w:rPr>
          <w:rFonts w:hint="eastAsia" w:hAnsi="Times New Roman" w:eastAsia="宋体" w:cs="Times New Roman"/>
          <w:color w:val="auto"/>
          <w:kern w:val="0"/>
          <w:szCs w:val="20"/>
          <w:lang w:eastAsia="zh-CN"/>
        </w:rPr>
        <w:t>《中国食管鳞癌癌前状态及癌前病变诊治策略专家共识</w:t>
      </w:r>
      <w:r>
        <w:rPr>
          <w:rFonts w:hint="eastAsia"/>
          <w:color w:val="auto"/>
          <w:lang w:val="en-US" w:eastAsia="zh-CN"/>
        </w:rPr>
        <w:t>（2020年）</w:t>
      </w:r>
      <w:r>
        <w:rPr>
          <w:rFonts w:hint="eastAsia" w:hAnsi="Times New Roman" w:eastAsia="宋体" w:cs="Times New Roman"/>
          <w:color w:val="auto"/>
          <w:kern w:val="0"/>
          <w:szCs w:val="20"/>
          <w:lang w:eastAsia="zh-CN"/>
        </w:rPr>
        <w:t>》：</w:t>
      </w:r>
      <w:r>
        <w:rPr>
          <w:rFonts w:hint="eastAsia" w:hAnsi="Times New Roman" w:eastAsia="宋体" w:cs="Times New Roman"/>
          <w:color w:val="auto"/>
          <w:kern w:val="0"/>
          <w:szCs w:val="20"/>
          <w:lang w:val="en-US" w:eastAsia="zh-CN"/>
        </w:rPr>
        <w:t>中华消化内镜杂志</w:t>
      </w:r>
      <w:r>
        <w:rPr>
          <w:rFonts w:hint="eastAsia" w:hAnsi="Times New Roman" w:eastAsia="宋体" w:cs="Times New Roman"/>
          <w:color w:val="auto"/>
          <w:kern w:val="0"/>
          <w:szCs w:val="20"/>
          <w:vertAlign w:val="superscript"/>
          <w:lang w:val="en-US" w:eastAsia="zh-CN"/>
        </w:rPr>
        <w:t>[7]</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default" w:ascii="宋体" w:hAnsi="Times New Roman" w:eastAsia="宋体" w:cs="Times New Roman"/>
          <w:color w:val="auto"/>
          <w:kern w:val="0"/>
          <w:szCs w:val="20"/>
          <w:lang w:val="en-US" w:eastAsia="zh-CN"/>
        </w:rPr>
      </w:pPr>
      <w:r>
        <w:rPr>
          <w:rFonts w:hint="eastAsia" w:ascii="宋体" w:hAnsi="Times New Roman" w:eastAsia="宋体" w:cs="Times New Roman"/>
          <w:color w:val="auto"/>
          <w:kern w:val="0"/>
          <w:szCs w:val="20"/>
        </w:rPr>
        <w:t>《</w:t>
      </w:r>
      <w:r>
        <w:rPr>
          <w:rFonts w:hint="eastAsia"/>
          <w:color w:val="auto"/>
          <w:lang w:val="en-US" w:eastAsia="zh-CN"/>
        </w:rPr>
        <w:t>中国早期食管癌及癌前病变筛查专家共识意见（2019年，新乡）</w:t>
      </w:r>
      <w:r>
        <w:rPr>
          <w:rFonts w:hint="eastAsia" w:ascii="宋体" w:hAnsi="Times New Roman" w:eastAsia="宋体" w:cs="Times New Roman"/>
          <w:color w:val="auto"/>
          <w:kern w:val="0"/>
          <w:szCs w:val="20"/>
        </w:rPr>
        <w:t>》</w:t>
      </w:r>
      <w:r>
        <w:rPr>
          <w:rFonts w:hint="eastAsia" w:hAnsi="Times New Roman" w:eastAsia="宋体" w:cs="Times New Roman"/>
          <w:color w:val="auto"/>
          <w:kern w:val="0"/>
          <w:szCs w:val="20"/>
          <w:lang w:eastAsia="zh-CN"/>
        </w:rPr>
        <w:t>：</w:t>
      </w:r>
      <w:r>
        <w:rPr>
          <w:rFonts w:hint="eastAsia" w:hAnsi="Times New Roman" w:eastAsia="宋体" w:cs="Times New Roman"/>
          <w:color w:val="auto"/>
          <w:kern w:val="0"/>
          <w:szCs w:val="20"/>
          <w:lang w:val="en-US" w:eastAsia="zh-CN"/>
        </w:rPr>
        <w:t>中华消化内镜杂志</w:t>
      </w:r>
      <w:r>
        <w:rPr>
          <w:rFonts w:hint="eastAsia" w:hAnsi="Times New Roman" w:eastAsia="宋体" w:cs="Times New Roman"/>
          <w:color w:val="auto"/>
          <w:kern w:val="0"/>
          <w:szCs w:val="20"/>
          <w:vertAlign w:val="superscript"/>
          <w:lang w:val="en-US" w:eastAsia="zh-CN"/>
        </w:rPr>
        <w:t>[8]</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default" w:hAnsi="宋体" w:eastAsia="宋体" w:cs="宋体"/>
          <w:color w:val="auto"/>
          <w:sz w:val="21"/>
          <w:szCs w:val="21"/>
          <w:lang w:val="en-US" w:eastAsia="zh-CN"/>
        </w:rPr>
      </w:pPr>
      <w:r>
        <w:rPr>
          <w:rFonts w:hint="eastAsia" w:ascii="宋体" w:hAnsi="Times New Roman" w:eastAsia="宋体" w:cs="Times New Roman"/>
          <w:color w:val="auto"/>
          <w:kern w:val="0"/>
          <w:szCs w:val="20"/>
        </w:rPr>
        <w:t>《中国巴雷特食管及其早期腺癌筛查与诊治共识(2017，万宁)》</w:t>
      </w:r>
      <w:r>
        <w:rPr>
          <w:rFonts w:hint="eastAsia" w:hAnsi="Times New Roman" w:eastAsia="宋体" w:cs="Times New Roman"/>
          <w:color w:val="auto"/>
          <w:kern w:val="0"/>
          <w:szCs w:val="20"/>
          <w:lang w:eastAsia="zh-CN"/>
        </w:rPr>
        <w:t>：</w:t>
      </w:r>
      <w:r>
        <w:rPr>
          <w:rFonts w:hint="eastAsia" w:hAnsi="Times New Roman" w:eastAsia="宋体" w:cs="Times New Roman"/>
          <w:color w:val="auto"/>
          <w:kern w:val="0"/>
          <w:szCs w:val="20"/>
          <w:lang w:val="en-US" w:eastAsia="zh-CN"/>
        </w:rPr>
        <w:t>中华内科杂志</w:t>
      </w:r>
      <w:r>
        <w:rPr>
          <w:rFonts w:hint="eastAsia" w:hAnsi="Times New Roman" w:eastAsia="宋体" w:cs="Times New Roman"/>
          <w:color w:val="auto"/>
          <w:kern w:val="0"/>
          <w:szCs w:val="20"/>
          <w:vertAlign w:val="superscript"/>
          <w:lang w:val="en-US" w:eastAsia="zh-CN"/>
        </w:rPr>
        <w:t>[9]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color w:val="auto"/>
          <w:sz w:val="21"/>
          <w:szCs w:val="21"/>
          <w:lang w:val="en-US" w:eastAsia="zh-CN"/>
        </w:rPr>
      </w:pPr>
      <w:bookmarkStart w:id="20" w:name="_Toc436205037"/>
      <w:bookmarkStart w:id="21" w:name="_Toc509933851"/>
      <w:bookmarkStart w:id="22" w:name="_Toc510534530"/>
      <w:r>
        <w:rPr>
          <w:rFonts w:hint="eastAsia" w:ascii="黑体" w:hAnsi="黑体" w:eastAsia="黑体" w:cs="黑体"/>
          <w:color w:val="auto"/>
          <w:sz w:val="21"/>
          <w:szCs w:val="21"/>
          <w:lang w:val="en-US" w:eastAsia="zh-CN"/>
        </w:rPr>
        <w:t>3 术语和定义</w:t>
      </w:r>
      <w:bookmarkEnd w:id="20"/>
      <w:bookmarkEnd w:id="21"/>
      <w:bookmarkEnd w:id="22"/>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下列术语和定义适用于本共识。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3.1</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食管癌前病变 </w:t>
      </w:r>
      <w:r>
        <w:rPr>
          <w:rFonts w:hint="eastAsia" w:ascii="Times New Roman" w:hAnsi="Times New Roman" w:eastAsia="黑体" w:cs="Times New Roman"/>
          <w:b w:val="0"/>
          <w:bCs w:val="0"/>
          <w:color w:val="auto"/>
          <w:sz w:val="21"/>
          <w:szCs w:val="21"/>
          <w:lang w:val="en-US" w:eastAsia="zh-CN"/>
        </w:rPr>
        <w:t>E</w:t>
      </w:r>
      <w:r>
        <w:rPr>
          <w:rFonts w:hint="default" w:ascii="Times New Roman" w:hAnsi="Times New Roman" w:eastAsia="黑体" w:cs="Times New Roman"/>
          <w:b w:val="0"/>
          <w:bCs w:val="0"/>
          <w:color w:val="auto"/>
          <w:sz w:val="21"/>
          <w:szCs w:val="21"/>
          <w:lang w:val="en-US" w:eastAsia="zh-CN"/>
        </w:rPr>
        <w:t>sophageal precancerous lesions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指已证实与食管癌发生密切相关的病理变化。食管鳞癌的癌前病变主要指食管鳞状上皮细胞的异型增生</w:t>
      </w:r>
      <w:r>
        <w:rPr>
          <w:rFonts w:hint="eastAsia" w:ascii="宋体" w:hAnsi="宋体" w:eastAsia="宋体" w:cs="宋体"/>
          <w:color w:val="auto"/>
          <w:sz w:val="21"/>
          <w:szCs w:val="21"/>
          <w:vertAlign w:val="superscript"/>
          <w:lang w:val="en-US" w:eastAsia="zh-CN"/>
        </w:rPr>
        <w:t>[10-11]</w:t>
      </w:r>
      <w:r>
        <w:rPr>
          <w:rFonts w:hint="eastAsia" w:ascii="宋体" w:hAnsi="宋体" w:eastAsia="宋体" w:cs="宋体"/>
          <w:color w:val="auto"/>
          <w:sz w:val="21"/>
          <w:szCs w:val="21"/>
          <w:lang w:val="en-US" w:eastAsia="zh-CN"/>
        </w:rPr>
        <w:t>，食管腺癌的癌前病变主要指巴雷特食管黏膜的异型增生</w:t>
      </w:r>
      <w:r>
        <w:rPr>
          <w:rFonts w:hint="eastAsia" w:ascii="宋体" w:hAnsi="宋体" w:eastAsia="宋体" w:cs="宋体"/>
          <w:color w:val="auto"/>
          <w:sz w:val="21"/>
          <w:szCs w:val="21"/>
          <w:vertAlign w:val="superscript"/>
          <w:lang w:val="en-US" w:eastAsia="zh-CN"/>
        </w:rPr>
        <w:t>[12-14]</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3.2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异型增生 </w:t>
      </w:r>
      <w:r>
        <w:rPr>
          <w:rFonts w:hint="eastAsia" w:ascii="Times New Roman" w:hAnsi="Times New Roman" w:eastAsia="黑体" w:cs="Times New Roman"/>
          <w:b w:val="0"/>
          <w:bCs w:val="0"/>
          <w:color w:val="auto"/>
          <w:sz w:val="21"/>
          <w:szCs w:val="21"/>
          <w:lang w:val="en-US" w:eastAsia="zh-CN"/>
        </w:rPr>
        <w:t>D</w:t>
      </w:r>
      <w:r>
        <w:rPr>
          <w:rFonts w:hint="default" w:ascii="Times New Roman" w:hAnsi="Times New Roman" w:eastAsia="黑体" w:cs="Times New Roman"/>
          <w:b w:val="0"/>
          <w:bCs w:val="0"/>
          <w:color w:val="auto"/>
          <w:sz w:val="21"/>
          <w:szCs w:val="21"/>
          <w:lang w:val="en-US" w:eastAsia="zh-CN"/>
        </w:rPr>
        <w:t>ysplasia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default" w:ascii="Times New Roman" w:hAnsi="Times New Roman" w:eastAsia="宋体" w:cs="Times New Roman"/>
          <w:color w:val="auto"/>
          <w:sz w:val="21"/>
          <w:szCs w:val="21"/>
          <w:lang w:val="en-US" w:eastAsia="zh-CN"/>
        </w:rPr>
        <w:t>WHO</w:t>
      </w:r>
      <w:r>
        <w:rPr>
          <w:rFonts w:hint="eastAsia" w:ascii="宋体" w:hAnsi="宋体" w:eastAsia="宋体" w:cs="宋体"/>
          <w:color w:val="auto"/>
          <w:sz w:val="21"/>
          <w:szCs w:val="21"/>
          <w:lang w:val="en-US" w:eastAsia="zh-CN"/>
        </w:rPr>
        <w:t>现称上皮内瘤变</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I</w:t>
      </w:r>
      <w:r>
        <w:rPr>
          <w:rFonts w:hint="default" w:ascii="Times New Roman" w:hAnsi="Times New Roman" w:eastAsia="宋体" w:cs="Times New Roman"/>
          <w:color w:val="auto"/>
          <w:sz w:val="21"/>
          <w:szCs w:val="21"/>
          <w:lang w:val="en-US" w:eastAsia="zh-CN"/>
        </w:rPr>
        <w:t>ntraepithelial neoplasis）</w:t>
      </w:r>
      <w:r>
        <w:rPr>
          <w:rFonts w:hint="eastAsia" w:ascii="宋体" w:hAnsi="宋体" w:eastAsia="宋体" w:cs="宋体"/>
          <w:color w:val="auto"/>
          <w:sz w:val="21"/>
          <w:szCs w:val="21"/>
          <w:lang w:val="en-US" w:eastAsia="zh-CN"/>
        </w:rPr>
        <w:t>，被定义为细胞形态、大小、结构异常，包括多形细胞以及深染的核分裂象，细胞幼稚并出现异型有丝分裂、细胞正常极性消失。根据细胞异型增生的程度和上皮累及深度分为低级别上皮内瘤变</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L</w:t>
      </w:r>
      <w:r>
        <w:rPr>
          <w:rFonts w:hint="default" w:ascii="Times New Roman" w:hAnsi="Times New Roman" w:eastAsia="宋体" w:cs="Times New Roman"/>
          <w:color w:val="auto"/>
          <w:sz w:val="21"/>
          <w:szCs w:val="21"/>
          <w:lang w:val="en-US" w:eastAsia="zh-CN"/>
        </w:rPr>
        <w:t>ow grade intraepithelial neoplasis，LGIN）</w:t>
      </w:r>
      <w:r>
        <w:rPr>
          <w:rFonts w:hint="eastAsia" w:ascii="宋体" w:hAnsi="宋体" w:eastAsia="宋体" w:cs="宋体"/>
          <w:color w:val="auto"/>
          <w:sz w:val="21"/>
          <w:szCs w:val="21"/>
          <w:lang w:val="en-US" w:eastAsia="zh-CN"/>
        </w:rPr>
        <w:t>和高级别上皮内瘤变</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H</w:t>
      </w:r>
      <w:r>
        <w:rPr>
          <w:rFonts w:hint="default" w:ascii="Times New Roman" w:hAnsi="Times New Roman" w:eastAsia="宋体" w:cs="Times New Roman"/>
          <w:color w:val="auto"/>
          <w:sz w:val="21"/>
          <w:szCs w:val="21"/>
          <w:lang w:val="en-US" w:eastAsia="zh-CN"/>
        </w:rPr>
        <w:t>igh grade intraepithelial neoplasis，HGIN）</w:t>
      </w:r>
      <w:r>
        <w:rPr>
          <w:rFonts w:hint="eastAsia" w:ascii="宋体" w:hAnsi="宋体" w:eastAsia="宋体" w:cs="宋体"/>
          <w:color w:val="auto"/>
          <w:sz w:val="21"/>
          <w:szCs w:val="21"/>
          <w:lang w:val="en-US" w:eastAsia="zh-CN"/>
        </w:rPr>
        <w:t>；其中低级别上皮内瘤变指异型细胞局限在上皮下1/2以内，高级别上皮内瘤变指异型细胞局限在上皮下1/2及以上</w:t>
      </w:r>
      <w:r>
        <w:rPr>
          <w:rFonts w:hint="eastAsia" w:ascii="宋体" w:hAnsi="宋体" w:eastAsia="宋体" w:cs="宋体"/>
          <w:color w:val="auto"/>
          <w:sz w:val="21"/>
          <w:szCs w:val="21"/>
          <w:vertAlign w:val="superscript"/>
          <w:lang w:val="en-US" w:eastAsia="zh-CN"/>
        </w:rPr>
        <w:t>[15]</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3.3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巴雷特食管 </w:t>
      </w:r>
      <w:r>
        <w:rPr>
          <w:rFonts w:hint="default" w:ascii="Times New Roman" w:hAnsi="Times New Roman" w:eastAsia="黑体" w:cs="Times New Roman"/>
          <w:b w:val="0"/>
          <w:bCs w:val="0"/>
          <w:color w:val="auto"/>
          <w:sz w:val="21"/>
          <w:szCs w:val="21"/>
          <w:lang w:val="en-US" w:eastAsia="zh-CN"/>
        </w:rPr>
        <w:t>Barrett’s esophagus</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胃食管反流病的并发症，内镜下可见食管鳞状上皮与胃柱状上皮的交界线（齿状线，又称Z线）相对于胃食管结合部上移≥1cm，病理证实食管下段的正常复层鳞状上皮被化生的柱状上皮所取代，其化生可为胃底上皮样化生、贲门上皮样化生以及特殊肠型化生</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S</w:t>
      </w:r>
      <w:r>
        <w:rPr>
          <w:rFonts w:hint="default" w:ascii="Times New Roman" w:hAnsi="Times New Roman" w:eastAsia="宋体" w:cs="Times New Roman"/>
          <w:color w:val="auto"/>
          <w:sz w:val="21"/>
          <w:szCs w:val="21"/>
          <w:lang w:val="en-US" w:eastAsia="zh-CN"/>
        </w:rPr>
        <w:t>pecific intestinal metaplasia，SIM）</w:t>
      </w:r>
      <w:r>
        <w:rPr>
          <w:rFonts w:hint="eastAsia" w:ascii="宋体" w:hAnsi="宋体" w:eastAsia="宋体" w:cs="宋体"/>
          <w:color w:val="auto"/>
          <w:sz w:val="21"/>
          <w:szCs w:val="21"/>
          <w:lang w:val="en-US" w:eastAsia="zh-CN"/>
        </w:rPr>
        <w:t>，其中伴有肠上皮化生的巴雷特食管发生癌变的风险更大</w:t>
      </w:r>
      <w:r>
        <w:rPr>
          <w:rFonts w:hint="eastAsia" w:ascii="宋体" w:hAnsi="宋体" w:eastAsia="宋体" w:cs="宋体"/>
          <w:color w:val="auto"/>
          <w:sz w:val="21"/>
          <w:szCs w:val="21"/>
          <w:vertAlign w:val="superscript"/>
          <w:lang w:val="en-US" w:eastAsia="zh-CN"/>
        </w:rPr>
        <w:t>[16-20]</w:t>
      </w:r>
      <w:r>
        <w:rPr>
          <w:rFonts w:hint="eastAsia" w:ascii="宋体" w:hAnsi="宋体" w:eastAsia="宋体" w:cs="宋体"/>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4 流行病学</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食管癌是全球范围内常见的恶性肿瘤之一，据</w:t>
      </w:r>
      <w:r>
        <w:rPr>
          <w:rFonts w:hint="default" w:ascii="宋体" w:hAnsi="宋体" w:eastAsia="宋体" w:cs="宋体"/>
          <w:color w:val="auto"/>
          <w:sz w:val="21"/>
          <w:szCs w:val="21"/>
          <w:lang w:val="en-US" w:eastAsia="zh-CN"/>
        </w:rPr>
        <w:t>2020</w:t>
      </w:r>
      <w:r>
        <w:rPr>
          <w:rFonts w:hint="eastAsia" w:ascii="宋体" w:hAnsi="宋体" w:eastAsia="宋体" w:cs="宋体"/>
          <w:color w:val="auto"/>
          <w:sz w:val="21"/>
          <w:szCs w:val="21"/>
          <w:lang w:val="en-US" w:eastAsia="zh-CN"/>
        </w:rPr>
        <w:t>年全球癌症统计，食管癌的新发病人数达</w:t>
      </w:r>
      <w:r>
        <w:rPr>
          <w:rFonts w:hint="default" w:ascii="宋体" w:hAnsi="宋体" w:eastAsia="宋体" w:cs="宋体"/>
          <w:color w:val="auto"/>
          <w:sz w:val="21"/>
          <w:szCs w:val="21"/>
          <w:lang w:val="en-US" w:eastAsia="zh-CN"/>
        </w:rPr>
        <w:t>60.4</w:t>
      </w:r>
      <w:r>
        <w:rPr>
          <w:rFonts w:hint="eastAsia" w:ascii="宋体" w:hAnsi="宋体" w:eastAsia="宋体" w:cs="宋体"/>
          <w:color w:val="auto"/>
          <w:sz w:val="21"/>
          <w:szCs w:val="21"/>
          <w:lang w:val="en-US" w:eastAsia="zh-CN"/>
        </w:rPr>
        <w:t>万，死亡人数达</w:t>
      </w:r>
      <w:r>
        <w:rPr>
          <w:rFonts w:hint="default" w:ascii="宋体" w:hAnsi="宋体" w:eastAsia="宋体" w:cs="宋体"/>
          <w:color w:val="auto"/>
          <w:sz w:val="21"/>
          <w:szCs w:val="21"/>
          <w:lang w:val="en-US" w:eastAsia="zh-CN"/>
        </w:rPr>
        <w:t>54.4</w:t>
      </w:r>
      <w:r>
        <w:rPr>
          <w:rFonts w:hint="eastAsia" w:ascii="宋体" w:hAnsi="宋体" w:eastAsia="宋体" w:cs="宋体"/>
          <w:color w:val="auto"/>
          <w:sz w:val="21"/>
          <w:szCs w:val="21"/>
          <w:lang w:val="en-US" w:eastAsia="zh-CN"/>
        </w:rPr>
        <w:t>万</w:t>
      </w:r>
      <w:r>
        <w:rPr>
          <w:rFonts w:hint="eastAsia" w:ascii="宋体" w:hAnsi="宋体" w:eastAsia="宋体" w:cs="宋体"/>
          <w:color w:val="auto"/>
          <w:sz w:val="21"/>
          <w:szCs w:val="21"/>
          <w:vertAlign w:val="superscript"/>
          <w:lang w:val="en-US" w:eastAsia="zh-CN"/>
        </w:rPr>
        <w:t>[2]</w:t>
      </w:r>
      <w:r>
        <w:rPr>
          <w:rFonts w:hint="eastAsia" w:ascii="宋体" w:hAnsi="宋体" w:eastAsia="宋体" w:cs="宋体"/>
          <w:color w:val="auto"/>
          <w:sz w:val="21"/>
          <w:szCs w:val="21"/>
          <w:lang w:val="en-US" w:eastAsia="zh-CN"/>
        </w:rPr>
        <w:t>。我国是食管癌高发国家，针对食管癌前病变的治未病干预是降低食管癌发病率的关键。</w:t>
      </w:r>
      <w:r>
        <w:rPr>
          <w:rFonts w:hint="default" w:ascii="宋体" w:hAnsi="宋体" w:eastAsia="宋体" w:cs="宋体"/>
          <w:color w:val="auto"/>
          <w:sz w:val="21"/>
          <w:szCs w:val="21"/>
          <w:lang w:val="en-US" w:eastAsia="zh-CN"/>
        </w:rPr>
        <w:t>食管癌存在长达5～10年的癌前状态、癌前病变及早期癌阶段，这为筛查和防治工作提供了重要窗口期。食管癌由上皮内瘤变进展而来，组织病理学证实的上皮内瘤变无论何种程度，食管癌</w:t>
      </w:r>
      <w:r>
        <w:rPr>
          <w:rFonts w:hint="eastAsia" w:ascii="宋体" w:hAnsi="宋体" w:eastAsia="宋体" w:cs="宋体"/>
          <w:color w:val="auto"/>
          <w:sz w:val="21"/>
          <w:szCs w:val="21"/>
          <w:lang w:val="en-US" w:eastAsia="zh-CN"/>
        </w:rPr>
        <w:t>发病</w:t>
      </w:r>
      <w:r>
        <w:rPr>
          <w:rFonts w:hint="default" w:ascii="宋体" w:hAnsi="宋体" w:eastAsia="宋体" w:cs="宋体"/>
          <w:color w:val="auto"/>
          <w:sz w:val="21"/>
          <w:szCs w:val="21"/>
          <w:lang w:val="en-US" w:eastAsia="zh-CN"/>
        </w:rPr>
        <w:t>风险均显著增加</w:t>
      </w:r>
      <w:r>
        <w:rPr>
          <w:rFonts w:hint="eastAsia" w:ascii="宋体" w:hAnsi="宋体" w:eastAsia="宋体" w:cs="宋体"/>
          <w:color w:val="auto"/>
          <w:sz w:val="21"/>
          <w:szCs w:val="21"/>
          <w:vertAlign w:val="superscript"/>
          <w:lang w:val="en-US" w:eastAsia="zh-CN"/>
        </w:rPr>
        <w:t>[21]</w:t>
      </w:r>
      <w:r>
        <w:rPr>
          <w:rFonts w:hint="default"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有研究表明，</w:t>
      </w:r>
      <w:r>
        <w:rPr>
          <w:rFonts w:hint="default" w:ascii="宋体" w:hAnsi="宋体" w:eastAsia="宋体" w:cs="宋体"/>
          <w:color w:val="auto"/>
          <w:sz w:val="21"/>
          <w:szCs w:val="21"/>
          <w:lang w:val="en-US" w:eastAsia="zh-CN"/>
        </w:rPr>
        <w:t>食管上皮基底细胞过度增生无症状</w:t>
      </w:r>
      <w:r>
        <w:rPr>
          <w:rFonts w:hint="eastAsia" w:ascii="宋体" w:hAnsi="宋体" w:eastAsia="宋体" w:cs="宋体"/>
          <w:color w:val="auto"/>
          <w:sz w:val="21"/>
          <w:szCs w:val="21"/>
          <w:lang w:val="en-US" w:eastAsia="zh-CN"/>
        </w:rPr>
        <w:t>人群</w:t>
      </w:r>
      <w:r>
        <w:rPr>
          <w:rFonts w:hint="default" w:ascii="宋体" w:hAnsi="宋体" w:eastAsia="宋体" w:cs="宋体"/>
          <w:color w:val="auto"/>
          <w:sz w:val="21"/>
          <w:szCs w:val="21"/>
          <w:lang w:val="en-US" w:eastAsia="zh-CN"/>
        </w:rPr>
        <w:t>较正常</w:t>
      </w:r>
      <w:r>
        <w:rPr>
          <w:rFonts w:hint="eastAsia" w:ascii="宋体" w:hAnsi="宋体" w:eastAsia="宋体" w:cs="宋体"/>
          <w:color w:val="auto"/>
          <w:sz w:val="21"/>
          <w:szCs w:val="21"/>
          <w:lang w:val="en-US" w:eastAsia="zh-CN"/>
        </w:rPr>
        <w:t>食管黏膜</w:t>
      </w:r>
      <w:r>
        <w:rPr>
          <w:rFonts w:hint="default" w:ascii="宋体" w:hAnsi="宋体" w:eastAsia="宋体" w:cs="宋体"/>
          <w:color w:val="auto"/>
          <w:sz w:val="21"/>
          <w:szCs w:val="21"/>
          <w:lang w:val="en-US" w:eastAsia="zh-CN"/>
        </w:rPr>
        <w:t>上皮者发生食管癌的风险增高6倍。正常</w:t>
      </w:r>
      <w:r>
        <w:rPr>
          <w:rFonts w:hint="eastAsia" w:ascii="宋体" w:hAnsi="宋体" w:eastAsia="宋体" w:cs="宋体"/>
          <w:color w:val="auto"/>
          <w:sz w:val="21"/>
          <w:szCs w:val="21"/>
          <w:lang w:val="en-US" w:eastAsia="zh-CN"/>
        </w:rPr>
        <w:t>食管黏膜</w:t>
      </w:r>
      <w:r>
        <w:rPr>
          <w:rFonts w:hint="default" w:ascii="宋体" w:hAnsi="宋体" w:eastAsia="宋体" w:cs="宋体"/>
          <w:color w:val="auto"/>
          <w:sz w:val="21"/>
          <w:szCs w:val="21"/>
          <w:lang w:val="en-US" w:eastAsia="zh-CN"/>
        </w:rPr>
        <w:t>上皮、食管上皮基底细胞过度增生和食管上皮不典型增生发展为食管癌间隔时间的中位数分别为22</w:t>
      </w:r>
      <w:r>
        <w:rPr>
          <w:rFonts w:hint="eastAsia" w:ascii="宋体" w:hAnsi="宋体" w:eastAsia="宋体" w:cs="宋体"/>
          <w:color w:val="auto"/>
          <w:sz w:val="21"/>
          <w:szCs w:val="21"/>
          <w:lang w:val="en-US" w:eastAsia="zh-CN"/>
        </w:rPr>
        <w:t>年</w:t>
      </w:r>
      <w:r>
        <w:rPr>
          <w:rFonts w:hint="default" w:ascii="宋体" w:hAnsi="宋体" w:eastAsia="宋体" w:cs="宋体"/>
          <w:color w:val="auto"/>
          <w:sz w:val="21"/>
          <w:szCs w:val="21"/>
          <w:lang w:val="en-US" w:eastAsia="zh-CN"/>
        </w:rPr>
        <w:t>、11</w:t>
      </w:r>
      <w:r>
        <w:rPr>
          <w:rFonts w:hint="eastAsia" w:ascii="宋体" w:hAnsi="宋体" w:eastAsia="宋体" w:cs="宋体"/>
          <w:color w:val="auto"/>
          <w:sz w:val="21"/>
          <w:szCs w:val="21"/>
          <w:lang w:val="en-US" w:eastAsia="zh-CN"/>
        </w:rPr>
        <w:t>年</w:t>
      </w:r>
      <w:r>
        <w:rPr>
          <w:rFonts w:hint="default" w:ascii="宋体" w:hAnsi="宋体" w:eastAsia="宋体" w:cs="宋体"/>
          <w:color w:val="auto"/>
          <w:sz w:val="21"/>
          <w:szCs w:val="21"/>
          <w:lang w:val="en-US" w:eastAsia="zh-CN"/>
        </w:rPr>
        <w:t>和5</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5</w:t>
      </w:r>
      <w:r>
        <w:rPr>
          <w:rFonts w:hint="eastAsia" w:ascii="宋体" w:hAnsi="宋体" w:eastAsia="宋体" w:cs="宋体"/>
          <w:color w:val="auto"/>
          <w:sz w:val="21"/>
          <w:szCs w:val="21"/>
          <w:lang w:val="en-US" w:eastAsia="zh-CN"/>
        </w:rPr>
        <w:t>年</w:t>
      </w:r>
      <w:r>
        <w:rPr>
          <w:rFonts w:hint="eastAsia" w:ascii="宋体" w:hAnsi="宋体" w:eastAsia="宋体" w:cs="宋体"/>
          <w:color w:val="auto"/>
          <w:sz w:val="21"/>
          <w:szCs w:val="21"/>
          <w:vertAlign w:val="superscript"/>
          <w:lang w:val="en-US" w:eastAsia="zh-CN"/>
        </w:rPr>
        <w:t>[22]</w:t>
      </w:r>
      <w:r>
        <w:rPr>
          <w:rFonts w:hint="default"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我国学者对河南省林州地区682例受试者的队列研究结果显示，在13.5年的随访中，正常食管鳞状上皮以及鳞状上皮轻、中、重度异型增生癌变率分别为8%、24%、50%和74%，与正常鳞状上皮相比，轻度（</w:t>
      </w:r>
      <w:r>
        <w:rPr>
          <w:rFonts w:hint="default" w:ascii="Times New Roman" w:hAnsi="Times New Roman" w:eastAsia="宋体" w:cs="Times New Roman"/>
          <w:color w:val="auto"/>
          <w:sz w:val="21"/>
          <w:szCs w:val="21"/>
          <w:lang w:val="en-US" w:eastAsia="zh-CN"/>
        </w:rPr>
        <w:t>RR</w:t>
      </w:r>
      <w:r>
        <w:rPr>
          <w:rFonts w:hint="default" w:ascii="宋体" w:hAnsi="宋体" w:eastAsia="宋体" w:cs="宋体"/>
          <w:color w:val="auto"/>
          <w:sz w:val="21"/>
          <w:szCs w:val="21"/>
          <w:lang w:val="en-US" w:eastAsia="zh-CN"/>
        </w:rPr>
        <w:t>=2.9；95%</w:t>
      </w:r>
      <w:r>
        <w:rPr>
          <w:rFonts w:hint="default" w:ascii="Times New Roman" w:hAnsi="Times New Roman" w:eastAsia="宋体" w:cs="Times New Roman"/>
          <w:color w:val="auto"/>
          <w:sz w:val="21"/>
          <w:szCs w:val="21"/>
          <w:lang w:val="en-US" w:eastAsia="zh-CN"/>
        </w:rPr>
        <w:t>CI</w:t>
      </w:r>
      <w:r>
        <w:rPr>
          <w:rFonts w:hint="default" w:ascii="宋体" w:hAnsi="宋体" w:eastAsia="宋体" w:cs="宋体"/>
          <w:color w:val="auto"/>
          <w:sz w:val="21"/>
          <w:szCs w:val="21"/>
          <w:lang w:val="en-US" w:eastAsia="zh-CN"/>
        </w:rPr>
        <w:t>：1.6</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5.2)、中度（</w:t>
      </w:r>
      <w:r>
        <w:rPr>
          <w:rFonts w:hint="default" w:ascii="Times New Roman" w:hAnsi="Times New Roman" w:eastAsia="宋体" w:cs="Times New Roman"/>
          <w:color w:val="auto"/>
          <w:sz w:val="21"/>
          <w:szCs w:val="21"/>
          <w:lang w:val="en-US" w:eastAsia="zh-CN"/>
        </w:rPr>
        <w:t>RR</w:t>
      </w:r>
      <w:r>
        <w:rPr>
          <w:rFonts w:hint="default" w:ascii="宋体" w:hAnsi="宋体" w:eastAsia="宋体" w:cs="宋体"/>
          <w:color w:val="auto"/>
          <w:sz w:val="21"/>
          <w:szCs w:val="21"/>
          <w:lang w:val="en-US" w:eastAsia="zh-CN"/>
        </w:rPr>
        <w:t>=9.8；95%</w:t>
      </w:r>
      <w:r>
        <w:rPr>
          <w:rFonts w:hint="default" w:ascii="Times New Roman" w:hAnsi="Times New Roman" w:eastAsia="宋体" w:cs="Times New Roman"/>
          <w:color w:val="auto"/>
          <w:sz w:val="21"/>
          <w:szCs w:val="21"/>
          <w:lang w:val="en-US" w:eastAsia="zh-CN"/>
        </w:rPr>
        <w:t>CI</w:t>
      </w:r>
      <w:r>
        <w:rPr>
          <w:rFonts w:hint="default" w:ascii="宋体" w:hAnsi="宋体" w:eastAsia="宋体" w:cs="宋体"/>
          <w:color w:val="auto"/>
          <w:sz w:val="21"/>
          <w:szCs w:val="21"/>
          <w:lang w:val="en-US" w:eastAsia="zh-CN"/>
        </w:rPr>
        <w:t>：5.3</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18.3)、重度（</w:t>
      </w:r>
      <w:r>
        <w:rPr>
          <w:rFonts w:hint="default" w:ascii="Times New Roman" w:hAnsi="Times New Roman" w:eastAsia="宋体" w:cs="Times New Roman"/>
          <w:color w:val="auto"/>
          <w:sz w:val="21"/>
          <w:szCs w:val="21"/>
          <w:lang w:val="en-US" w:eastAsia="zh-CN"/>
        </w:rPr>
        <w:t>RR</w:t>
      </w:r>
      <w:r>
        <w:rPr>
          <w:rFonts w:hint="default" w:ascii="宋体" w:hAnsi="宋体" w:eastAsia="宋体" w:cs="宋体"/>
          <w:color w:val="auto"/>
          <w:sz w:val="21"/>
          <w:szCs w:val="21"/>
          <w:lang w:val="en-US" w:eastAsia="zh-CN"/>
        </w:rPr>
        <w:t>=28.3；95%</w:t>
      </w:r>
      <w:r>
        <w:rPr>
          <w:rFonts w:hint="default" w:ascii="Times New Roman" w:hAnsi="Times New Roman" w:eastAsia="宋体" w:cs="Times New Roman"/>
          <w:color w:val="auto"/>
          <w:sz w:val="21"/>
          <w:szCs w:val="21"/>
          <w:lang w:val="en-US" w:eastAsia="zh-CN"/>
        </w:rPr>
        <w:t>CI</w:t>
      </w:r>
      <w:r>
        <w:rPr>
          <w:rFonts w:hint="default" w:ascii="宋体" w:hAnsi="宋体" w:eastAsia="宋体" w:cs="宋体"/>
          <w:color w:val="auto"/>
          <w:sz w:val="21"/>
          <w:szCs w:val="21"/>
          <w:lang w:val="en-US" w:eastAsia="zh-CN"/>
        </w:rPr>
        <w:t>：15.3</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52.3）异型增生者食管鳞癌发病风险均显著增加，重度异型增生（</w:t>
      </w:r>
      <w:r>
        <w:rPr>
          <w:rFonts w:hint="default" w:ascii="Times New Roman" w:hAnsi="Times New Roman" w:eastAsia="宋体" w:cs="Times New Roman"/>
          <w:color w:val="auto"/>
          <w:sz w:val="21"/>
          <w:szCs w:val="21"/>
          <w:lang w:val="en-US" w:eastAsia="zh-CN"/>
        </w:rPr>
        <w:t>HGIN</w:t>
      </w:r>
      <w:r>
        <w:rPr>
          <w:rFonts w:hint="default" w:ascii="宋体" w:hAnsi="宋体" w:eastAsia="宋体" w:cs="宋体"/>
          <w:color w:val="auto"/>
          <w:sz w:val="21"/>
          <w:szCs w:val="21"/>
          <w:lang w:val="en-US" w:eastAsia="zh-CN"/>
        </w:rPr>
        <w:t>）者癌变风险显著高于轻、中度异型增生</w:t>
      </w:r>
      <w:r>
        <w:rPr>
          <w:rFonts w:hint="default" w:ascii="Times New Roman" w:hAnsi="Times New Roman" w:eastAsia="宋体" w:cs="Times New Roman"/>
          <w:color w:val="auto"/>
          <w:sz w:val="21"/>
          <w:szCs w:val="21"/>
          <w:lang w:val="en-US" w:eastAsia="zh-CN"/>
        </w:rPr>
        <w:t>（LGIN）</w:t>
      </w:r>
      <w:r>
        <w:rPr>
          <w:rFonts w:hint="default" w:ascii="宋体" w:hAnsi="宋体" w:eastAsia="宋体" w:cs="宋体"/>
          <w:color w:val="auto"/>
          <w:sz w:val="21"/>
          <w:szCs w:val="21"/>
          <w:lang w:val="en-US" w:eastAsia="zh-CN"/>
        </w:rPr>
        <w:t>者</w:t>
      </w:r>
      <w:r>
        <w:rPr>
          <w:rFonts w:hint="eastAsia" w:ascii="宋体" w:hAnsi="宋体" w:eastAsia="宋体" w:cs="宋体"/>
          <w:color w:val="auto"/>
          <w:sz w:val="21"/>
          <w:szCs w:val="21"/>
          <w:vertAlign w:val="superscript"/>
          <w:lang w:val="en-US" w:eastAsia="zh-CN"/>
        </w:rPr>
        <w:t>[21-22]</w:t>
      </w:r>
      <w:r>
        <w:rPr>
          <w:rFonts w:hint="default" w:ascii="宋体"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根据</w:t>
      </w:r>
      <w:r>
        <w:rPr>
          <w:rFonts w:hint="default" w:ascii="宋体" w:hAnsi="宋体" w:eastAsia="宋体" w:cs="宋体"/>
          <w:color w:val="auto"/>
          <w:sz w:val="21"/>
          <w:szCs w:val="21"/>
          <w:lang w:val="en-US" w:eastAsia="zh-CN"/>
        </w:rPr>
        <w:t>我国食管鳞癌高发区河南林州、河北磁县和山东肥城21111名居民8.5年的随访数据结果显示，重度异型增生/原位癌、中度异型增生和轻度异型增生者食管鳞癌累积发病率分别为15.5%、4.5%和1.4%，与病理活检正常者相比</w:t>
      </w:r>
      <w:r>
        <w:rPr>
          <w:rFonts w:hint="default" w:ascii="Times New Roman" w:hAnsi="Times New Roman" w:eastAsia="宋体" w:cs="Times New Roman"/>
          <w:color w:val="auto"/>
          <w:sz w:val="21"/>
          <w:szCs w:val="21"/>
          <w:lang w:val="en-US" w:eastAsia="zh-CN"/>
        </w:rPr>
        <w:t>HR</w:t>
      </w:r>
      <w:r>
        <w:rPr>
          <w:rFonts w:hint="default" w:ascii="宋体" w:hAnsi="宋体" w:eastAsia="宋体" w:cs="宋体"/>
          <w:color w:val="auto"/>
          <w:sz w:val="21"/>
          <w:szCs w:val="21"/>
          <w:lang w:val="en-US" w:eastAsia="zh-CN"/>
        </w:rPr>
        <w:t>值分别为55.78（95%</w:t>
      </w:r>
      <w:r>
        <w:rPr>
          <w:rFonts w:hint="default" w:ascii="Times New Roman" w:hAnsi="Times New Roman" w:eastAsia="宋体" w:cs="Times New Roman"/>
          <w:color w:val="auto"/>
          <w:sz w:val="21"/>
          <w:szCs w:val="21"/>
          <w:lang w:val="en-US" w:eastAsia="zh-CN"/>
        </w:rPr>
        <w:t>CI</w:t>
      </w:r>
      <w:r>
        <w:rPr>
          <w:rFonts w:hint="default" w:ascii="宋体" w:hAnsi="宋体" w:eastAsia="宋体" w:cs="宋体"/>
          <w:color w:val="auto"/>
          <w:sz w:val="21"/>
          <w:szCs w:val="21"/>
          <w:lang w:val="en-US" w:eastAsia="zh-CN"/>
        </w:rPr>
        <w:t>：29.78</w:t>
      </w:r>
      <w:r>
        <w:rPr>
          <w:rFonts w:hint="eastAsia" w:ascii="微软雅黑" w:hAnsi="微软雅黑" w:eastAsia="微软雅黑" w:cs="微软雅黑"/>
          <w:color w:val="auto"/>
          <w:sz w:val="21"/>
          <w:szCs w:val="21"/>
          <w:lang w:val="en-US" w:eastAsia="zh-CN"/>
        </w:rPr>
        <w:t>~</w:t>
      </w:r>
      <w:r>
        <w:rPr>
          <w:rFonts w:hint="default" w:ascii="宋体" w:hAnsi="宋体" w:eastAsia="宋体" w:cs="宋体"/>
          <w:color w:val="auto"/>
          <w:sz w:val="21"/>
          <w:szCs w:val="21"/>
          <w:lang w:val="en-US" w:eastAsia="zh-CN"/>
        </w:rPr>
        <w:t>104.49)、15.18（95%</w:t>
      </w:r>
      <w:r>
        <w:rPr>
          <w:rFonts w:hint="default" w:ascii="Times New Roman" w:hAnsi="Times New Roman" w:eastAsia="宋体" w:cs="Times New Roman"/>
          <w:color w:val="auto"/>
          <w:sz w:val="21"/>
          <w:szCs w:val="21"/>
          <w:lang w:val="en-US" w:eastAsia="zh-CN"/>
        </w:rPr>
        <w:t>CI</w:t>
      </w:r>
      <w:r>
        <w:rPr>
          <w:rFonts w:hint="default" w:ascii="宋体" w:hAnsi="宋体" w:eastAsia="宋体" w:cs="宋体"/>
          <w:color w:val="auto"/>
          <w:sz w:val="21"/>
          <w:szCs w:val="21"/>
          <w:lang w:val="en-US" w:eastAsia="zh-CN"/>
        </w:rPr>
        <w:t>：8.98</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25.66）和4.55（95%</w:t>
      </w:r>
      <w:r>
        <w:rPr>
          <w:rFonts w:hint="default" w:ascii="Times New Roman" w:hAnsi="Times New Roman" w:eastAsia="宋体" w:cs="Times New Roman"/>
          <w:color w:val="auto"/>
          <w:sz w:val="21"/>
          <w:szCs w:val="21"/>
          <w:lang w:val="en-US" w:eastAsia="zh-CN"/>
        </w:rPr>
        <w:t>CI</w:t>
      </w:r>
      <w:r>
        <w:rPr>
          <w:rFonts w:hint="default" w:ascii="宋体" w:hAnsi="宋体" w:eastAsia="宋体" w:cs="宋体"/>
          <w:color w:val="auto"/>
          <w:sz w:val="21"/>
          <w:szCs w:val="21"/>
          <w:lang w:val="en-US" w:eastAsia="zh-CN"/>
        </w:rPr>
        <w:t>：2.82</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7.34）</w:t>
      </w:r>
      <w:r>
        <w:rPr>
          <w:rFonts w:hint="eastAsia" w:ascii="宋体" w:hAnsi="宋体" w:eastAsia="宋体" w:cs="宋体"/>
          <w:color w:val="auto"/>
          <w:sz w:val="21"/>
          <w:szCs w:val="21"/>
          <w:vertAlign w:val="superscript"/>
          <w:lang w:val="en-US" w:eastAsia="zh-CN"/>
        </w:rPr>
        <w:t>[23]</w:t>
      </w:r>
      <w:r>
        <w:rPr>
          <w:rFonts w:hint="default" w:ascii="宋体" w:hAnsi="宋体" w:eastAsia="宋体" w:cs="宋体"/>
          <w:color w:val="auto"/>
          <w:sz w:val="21"/>
          <w:szCs w:val="21"/>
          <w:lang w:val="en-US" w:eastAsia="zh-CN"/>
        </w:rPr>
        <w:t>。经大规模人群研究证实，筛查发现并处理食管癌前病变可降低食管癌的人群发病率</w:t>
      </w:r>
      <w:r>
        <w:rPr>
          <w:rFonts w:hint="eastAsia" w:ascii="宋体" w:hAnsi="宋体" w:eastAsia="宋体" w:cs="宋体"/>
          <w:color w:val="auto"/>
          <w:sz w:val="21"/>
          <w:szCs w:val="21"/>
          <w:vertAlign w:val="superscript"/>
          <w:lang w:val="en-US" w:eastAsia="zh-CN"/>
        </w:rPr>
        <w:t>[24]</w:t>
      </w:r>
      <w:r>
        <w:rPr>
          <w:rFonts w:hint="default" w:ascii="宋体" w:hAnsi="宋体" w:eastAsia="宋体" w:cs="宋体"/>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5 病因病机</w:t>
      </w:r>
    </w:p>
    <w:p>
      <w:pPr>
        <w:pStyle w:val="2"/>
        <w:keepNext w:val="0"/>
        <w:keepLines w:val="0"/>
        <w:pageBreakBefore w:val="0"/>
        <w:widowControl w:val="0"/>
        <w:numPr>
          <w:ilvl w:val="0"/>
          <w:numId w:val="0"/>
        </w:numPr>
        <w:kinsoku/>
        <w:wordWrap/>
        <w:overflowPunct/>
        <w:topLinePunct w:val="0"/>
        <w:autoSpaceDE/>
        <w:autoSpaceDN/>
        <w:bidi w:val="0"/>
        <w:adjustRightInd/>
        <w:spacing w:line="360" w:lineRule="exact"/>
        <w:ind w:leftChars="0"/>
        <w:rPr>
          <w:rFonts w:hint="eastAsia" w:ascii="黑体" w:hAnsi="黑体" w:eastAsia="黑体" w:cs="黑体"/>
          <w:color w:val="auto"/>
          <w:lang w:val="en-US" w:eastAsia="zh-CN"/>
        </w:rPr>
      </w:pPr>
      <w:r>
        <w:rPr>
          <w:rFonts w:hint="eastAsia" w:ascii="黑体" w:hAnsi="黑体" w:eastAsia="黑体" w:cs="黑体"/>
          <w:color w:val="auto"/>
          <w:lang w:val="en-US" w:eastAsia="zh-CN"/>
        </w:rPr>
        <w:t>5.1 概述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color w:val="auto"/>
          <w:lang w:val="en-US" w:eastAsia="zh-CN"/>
        </w:rPr>
      </w:pPr>
      <w:r>
        <w:rPr>
          <w:rFonts w:hint="eastAsia" w:ascii="宋体" w:hAnsi="宋体" w:eastAsia="宋体" w:cs="宋体"/>
          <w:color w:val="auto"/>
          <w:sz w:val="21"/>
          <w:szCs w:val="21"/>
          <w:lang w:val="en-US" w:eastAsia="zh-CN"/>
        </w:rPr>
        <w:t>食管癌前病变常无特征性表现，或部分患者出现胸骨后不适、咽喉部不适，反酸、烧心等症，由于以上症状时有时无，时轻时重，且没有明显的进食不顺，所以容易忽视。食管癌前病变在中医古籍中无确切的病名，据其临床表现，中医可归属于“梅核气、嘈杂、反酸、食管瘅”范围。</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5.2 中医病因</w:t>
      </w:r>
      <w:r>
        <w:rPr>
          <w:rFonts w:hint="eastAsia" w:ascii="黑体" w:hAnsi="黑体" w:eastAsia="黑体" w:cs="黑体"/>
          <w:b w:val="0"/>
          <w:bCs w:val="0"/>
          <w:color w:val="auto"/>
          <w:kern w:val="2"/>
          <w:sz w:val="21"/>
          <w:szCs w:val="21"/>
          <w:lang w:val="en-US" w:eastAsia="zh-CN" w:bidi="ar-SA"/>
        </w:rPr>
        <w:t>（证据级别：</w:t>
      </w:r>
      <w:r>
        <w:rPr>
          <w:rFonts w:hint="default" w:ascii="Times New Roman" w:hAnsi="Times New Roman" w:eastAsia="宋体" w:cs="Times New Roman"/>
          <w:b w:val="0"/>
          <w:bCs w:val="0"/>
          <w:color w:val="auto"/>
          <w:kern w:val="2"/>
          <w:sz w:val="21"/>
          <w:szCs w:val="21"/>
          <w:lang w:val="en-US" w:eastAsia="zh-CN" w:bidi="ar-SA"/>
        </w:rPr>
        <w:t>Ⅴ</w:t>
      </w:r>
      <w:r>
        <w:rPr>
          <w:rFonts w:hint="eastAsia" w:ascii="黑体" w:hAnsi="黑体" w:eastAsia="黑体" w:cs="黑体"/>
          <w:b w:val="0"/>
          <w:bCs w:val="0"/>
          <w:color w:val="auto"/>
          <w:kern w:val="2"/>
          <w:sz w:val="21"/>
          <w:szCs w:val="21"/>
          <w:lang w:val="en-US" w:eastAsia="zh-CN" w:bidi="ar-SA"/>
        </w:rPr>
        <w:t>级；推荐强度：强推荐；共识同意率：完全同意 91.09</w:t>
      </w:r>
      <w:r>
        <w:rPr>
          <w:rFonts w:hint="default" w:ascii="黑体" w:hAnsi="黑体" w:eastAsia="黑体" w:cs="黑体"/>
          <w:b w:val="0"/>
          <w:bCs w:val="0"/>
          <w:color w:val="auto"/>
          <w:kern w:val="2"/>
          <w:sz w:val="21"/>
          <w:szCs w:val="21"/>
          <w:lang w:val="en-US" w:eastAsia="zh-CN" w:bidi="ar-SA"/>
        </w:rPr>
        <w:t>%</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0"/>
          <w:sz w:val="21"/>
          <w:szCs w:val="21"/>
          <w:lang w:val="en-US" w:eastAsia="zh-CN" w:bidi="ar"/>
        </w:rPr>
        <w:t>同意但保留部分意见7.83%</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1）饮食因素：</w:t>
      </w:r>
      <w:r>
        <w:rPr>
          <w:rFonts w:hint="eastAsia" w:ascii="宋体" w:hAnsi="宋体" w:eastAsia="宋体" w:cs="宋体"/>
          <w:color w:val="auto"/>
          <w:kern w:val="2"/>
          <w:sz w:val="21"/>
          <w:szCs w:val="21"/>
          <w:lang w:val="en-US" w:eastAsia="zh-CN" w:bidi="ar-SA"/>
        </w:rPr>
        <w:t>长期喜食烫食、辣食、糙食、腌制或霉变食物，进食过快，或酗酒，或口腔不洁，以上因素使邪毒直中，作用于食管，造成食管局部经脉受损，津停痰生，气机不顺，进而出现食管病变。</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2）情志因素：</w:t>
      </w:r>
      <w:r>
        <w:rPr>
          <w:rFonts w:hint="eastAsia" w:ascii="宋体" w:hAnsi="宋体" w:eastAsia="宋体" w:cs="宋体"/>
          <w:color w:val="auto"/>
          <w:kern w:val="2"/>
          <w:sz w:val="21"/>
          <w:szCs w:val="21"/>
          <w:lang w:val="en-US" w:eastAsia="zh-CN" w:bidi="ar-SA"/>
        </w:rPr>
        <w:t>长期抑郁寡欢，所愿不遂，忿怒急躁，思虑过度等原因，致情志失和，肝郁气滞，影响脾胃升降，清气不升，浊气不降，中焦壅塞，则胃及食管之络脉自痹，进而出现食管病变。</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3）禀赋不足或久病不愈：</w:t>
      </w:r>
      <w:r>
        <w:rPr>
          <w:rFonts w:hint="eastAsia" w:ascii="宋体" w:hAnsi="宋体" w:eastAsia="宋体" w:cs="宋体"/>
          <w:b w:val="0"/>
          <w:bCs w:val="0"/>
          <w:color w:val="auto"/>
          <w:kern w:val="2"/>
          <w:sz w:val="21"/>
          <w:szCs w:val="21"/>
          <w:lang w:val="en-US" w:eastAsia="zh-CN" w:bidi="ar-SA"/>
        </w:rPr>
        <w:t>禀赋不足与先天遗传有关，初生不显，成年后发病；或</w:t>
      </w:r>
      <w:r>
        <w:rPr>
          <w:rFonts w:hint="eastAsia" w:ascii="宋体" w:hAnsi="宋体" w:eastAsia="宋体" w:cs="宋体"/>
          <w:color w:val="auto"/>
          <w:kern w:val="2"/>
          <w:sz w:val="21"/>
          <w:szCs w:val="21"/>
          <w:lang w:val="en-US" w:eastAsia="zh-CN" w:bidi="ar-SA"/>
        </w:rPr>
        <w:t>久患胃疾不愈，或它疾累及脾胃，致中焦升降失和，水谷精微不化，气血生化无源，胃体及食管失于荣养，进而出现食管病变。</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4）年高体虚：</w:t>
      </w:r>
      <w:r>
        <w:rPr>
          <w:rFonts w:hint="eastAsia" w:ascii="宋体" w:hAnsi="宋体" w:eastAsia="宋体" w:cs="宋体"/>
          <w:color w:val="auto"/>
          <w:kern w:val="2"/>
          <w:sz w:val="21"/>
          <w:szCs w:val="21"/>
          <w:lang w:val="en-US" w:eastAsia="zh-CN" w:bidi="ar-SA"/>
        </w:rPr>
        <w:t>随着年龄的增加，正气渐虚，年老体虚则脏腑自衰，尤其是肝、脾、胃、肾功能不足，致阴阳失衡，升降失序，痰湿内生，瘀血阻滞，极易出现食管病变或使原来的食管病患加重，从量变到质变，转化为食管癌。</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5.3 中医病机（证据级别：</w:t>
      </w:r>
      <w:r>
        <w:rPr>
          <w:rFonts w:hint="default" w:ascii="Times New Roman" w:hAnsi="Times New Roman" w:eastAsia="黑体" w:cs="Times New Roman"/>
          <w:color w:val="auto"/>
          <w:kern w:val="2"/>
          <w:sz w:val="21"/>
          <w:szCs w:val="21"/>
          <w:lang w:val="en-US" w:eastAsia="zh-CN" w:bidi="ar-SA"/>
        </w:rPr>
        <w:t>Ⅴ</w:t>
      </w:r>
      <w:r>
        <w:rPr>
          <w:rFonts w:hint="eastAsia" w:ascii="黑体" w:hAnsi="黑体" w:eastAsia="黑体" w:cs="黑体"/>
          <w:color w:val="auto"/>
          <w:kern w:val="2"/>
          <w:sz w:val="21"/>
          <w:szCs w:val="21"/>
          <w:lang w:val="en-US" w:eastAsia="zh-CN" w:bidi="ar-SA"/>
        </w:rPr>
        <w:t>级；推荐强</w:t>
      </w:r>
      <w:r>
        <w:rPr>
          <w:rFonts w:hint="eastAsia" w:ascii="黑体" w:hAnsi="黑体" w:eastAsia="黑体" w:cs="黑体"/>
          <w:b w:val="0"/>
          <w:bCs w:val="0"/>
          <w:color w:val="auto"/>
          <w:kern w:val="2"/>
          <w:sz w:val="21"/>
          <w:szCs w:val="21"/>
          <w:lang w:val="en-US" w:eastAsia="zh-CN" w:bidi="ar-SA"/>
        </w:rPr>
        <w:t>度：强推荐；共识同意率：完全同意 88.76%，</w:t>
      </w:r>
      <w:r>
        <w:rPr>
          <w:rFonts w:hint="eastAsia" w:ascii="黑体" w:hAnsi="黑体" w:eastAsia="黑体" w:cs="黑体"/>
          <w:color w:val="auto"/>
          <w:kern w:val="0"/>
          <w:sz w:val="21"/>
          <w:szCs w:val="21"/>
          <w:lang w:val="en-US" w:eastAsia="zh-CN" w:bidi="ar"/>
        </w:rPr>
        <w:t>同意但保留部分意见11.23%</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食管属胃所主，与肝、脾、胃、肾关系密切。初病多为实，实为气郁、热邪、湿阻、痰凝、血瘀使食管气机不顺。若邪气久羁，消耗正气，脉络失养，气血运行不畅，久而不愈则为虚。从脏腑辨证看，实多为肝郁气滞、痰湿困脾，虚多为脾气虚、胃阴虚、肾气亏虚。从气血看，食管病变从轻到重，由气及血，有痰瘀互结发展为顽痰痼血，成为噎膈的可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 筛查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6.1 筛查对象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推荐40岁为筛查起始年龄，至75岁或预期寿命小于5年时终止筛查。对于符合筛查年龄人群，推荐合并下列任一项危险因素者作为食管鳞癌癌前病变的筛查目标人群：（1）出生或长期居住于食管癌高发地区</w:t>
      </w:r>
      <w:r>
        <w:rPr>
          <w:rFonts w:hint="eastAsia" w:ascii="宋体" w:hAnsi="宋体" w:eastAsia="宋体" w:cs="宋体"/>
          <w:color w:val="auto"/>
          <w:sz w:val="21"/>
          <w:szCs w:val="21"/>
          <w:vertAlign w:val="superscript"/>
          <w:lang w:val="en-US" w:eastAsia="zh-CN"/>
        </w:rPr>
        <w:t>[25-27]</w:t>
      </w:r>
      <w:r>
        <w:rPr>
          <w:rFonts w:hint="eastAsia" w:ascii="宋体" w:hAnsi="宋体" w:eastAsia="宋体" w:cs="宋体"/>
          <w:color w:val="auto"/>
          <w:sz w:val="21"/>
          <w:szCs w:val="21"/>
          <w:lang w:val="en-US" w:eastAsia="zh-CN"/>
        </w:rPr>
        <w:t>；（2）一级亲属有食管癌病史</w:t>
      </w:r>
      <w:r>
        <w:rPr>
          <w:rFonts w:hint="eastAsia" w:ascii="宋体" w:hAnsi="宋体" w:eastAsia="宋体" w:cs="宋体"/>
          <w:color w:val="auto"/>
          <w:sz w:val="21"/>
          <w:szCs w:val="21"/>
          <w:vertAlign w:val="superscript"/>
          <w:lang w:val="en-US" w:eastAsia="zh-CN"/>
        </w:rPr>
        <w:t>[28]</w:t>
      </w:r>
      <w:r>
        <w:rPr>
          <w:rFonts w:hint="eastAsia" w:ascii="宋体" w:hAnsi="宋体" w:eastAsia="宋体" w:cs="宋体"/>
          <w:color w:val="auto"/>
          <w:sz w:val="21"/>
          <w:szCs w:val="21"/>
          <w:lang w:val="en-US" w:eastAsia="zh-CN"/>
        </w:rPr>
        <w:t>；（3）患有食管癌前疾病：</w:t>
      </w:r>
      <w:r>
        <w:rPr>
          <w:rFonts w:hint="eastAsia" w:ascii="宋体" w:hAnsi="宋体" w:eastAsia="宋体" w:cs="宋体"/>
          <w:color w:val="auto"/>
          <w:kern w:val="24"/>
          <w:sz w:val="21"/>
          <w:szCs w:val="21"/>
          <w:u w:color="000000"/>
        </w:rPr>
        <w:t>贲门失弛缓症、食管腐蚀性损伤、食管白斑症、食管憩室、食管乳头状瘤、弥漫性掌跖角皮症等</w:t>
      </w:r>
      <w:r>
        <w:rPr>
          <w:rFonts w:hint="eastAsia" w:ascii="宋体" w:hAnsi="宋体" w:eastAsia="宋体" w:cs="宋体"/>
          <w:color w:val="auto"/>
          <w:kern w:val="24"/>
          <w:sz w:val="21"/>
          <w:szCs w:val="21"/>
          <w:u w:color="000000"/>
          <w:vertAlign w:val="superscript"/>
          <w:lang w:val="en-US" w:eastAsia="zh-CN"/>
        </w:rPr>
        <w:t>[15]</w:t>
      </w:r>
      <w:r>
        <w:rPr>
          <w:rFonts w:hint="eastAsia" w:ascii="宋体" w:hAnsi="宋体" w:eastAsia="宋体" w:cs="宋体"/>
          <w:color w:val="auto"/>
          <w:sz w:val="21"/>
          <w:szCs w:val="21"/>
          <w:lang w:val="en-US" w:eastAsia="zh-CN"/>
        </w:rPr>
        <w:t>；（4）有头颈部肿瘤病史</w:t>
      </w:r>
      <w:r>
        <w:rPr>
          <w:rFonts w:hint="eastAsia" w:ascii="宋体" w:hAnsi="宋体" w:eastAsia="宋体" w:cs="宋体"/>
          <w:color w:val="auto"/>
          <w:sz w:val="21"/>
          <w:szCs w:val="21"/>
          <w:vertAlign w:val="superscript"/>
          <w:lang w:val="en-US" w:eastAsia="zh-CN"/>
        </w:rPr>
        <w:t>[29]</w:t>
      </w:r>
      <w:r>
        <w:rPr>
          <w:rFonts w:hint="eastAsia" w:ascii="宋体" w:hAnsi="宋体" w:eastAsia="宋体" w:cs="宋体"/>
          <w:color w:val="auto"/>
          <w:sz w:val="21"/>
          <w:szCs w:val="21"/>
          <w:lang w:val="en-US" w:eastAsia="zh-CN"/>
        </w:rPr>
        <w:t>；（5）合并其他食管癌高危因素：热烫饮食、饮酒（≥15g/d)、吸烟、进食过快、室内空气污染、牙齿缺失等</w:t>
      </w:r>
      <w:r>
        <w:rPr>
          <w:rFonts w:hint="eastAsia" w:ascii="宋体" w:hAnsi="宋体" w:eastAsia="宋体" w:cs="宋体"/>
          <w:color w:val="auto"/>
          <w:sz w:val="21"/>
          <w:szCs w:val="21"/>
          <w:vertAlign w:val="superscript"/>
          <w:lang w:val="en-US" w:eastAsia="zh-CN"/>
        </w:rPr>
        <w:t>[30-32]</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推荐合并下列任三项危险因素者作为巴雷特食管腺癌癌前病变的筛查目标人群</w:t>
      </w:r>
      <w:r>
        <w:rPr>
          <w:rFonts w:hint="eastAsia" w:ascii="宋体" w:hAnsi="宋体" w:eastAsia="宋体" w:cs="宋体"/>
          <w:color w:val="auto"/>
          <w:sz w:val="21"/>
          <w:szCs w:val="21"/>
          <w:vertAlign w:val="superscript"/>
          <w:lang w:val="en-US" w:eastAsia="zh-CN"/>
        </w:rPr>
        <w:t>[33-35]</w:t>
      </w:r>
      <w:r>
        <w:rPr>
          <w:rFonts w:hint="eastAsia" w:ascii="宋体" w:hAnsi="宋体" w:eastAsia="宋体" w:cs="宋体"/>
          <w:color w:val="auto"/>
          <w:sz w:val="21"/>
          <w:szCs w:val="21"/>
          <w:lang w:val="en-US" w:eastAsia="zh-CN"/>
        </w:rPr>
        <w:t>：（1）年龄≥50岁；（2）巴雷特食管的长度进行性增加；（3）肥胖（</w:t>
      </w:r>
      <w:r>
        <w:rPr>
          <w:rFonts w:hint="default" w:ascii="Times New Roman" w:hAnsi="Times New Roman" w:eastAsia="宋体" w:cs="Times New Roman"/>
          <w:color w:val="auto"/>
          <w:sz w:val="21"/>
          <w:szCs w:val="21"/>
          <w:lang w:val="en-US" w:eastAsia="zh-CN"/>
        </w:rPr>
        <w:t>BMI</w:t>
      </w:r>
      <w:r>
        <w:rPr>
          <w:rFonts w:hint="eastAsia" w:ascii="宋体" w:hAnsi="宋体" w:eastAsia="宋体" w:cs="宋体"/>
          <w:color w:val="auto"/>
          <w:sz w:val="21"/>
          <w:szCs w:val="21"/>
          <w:lang w:val="en-US" w:eastAsia="zh-CN"/>
        </w:rPr>
        <w:t>＞25Kg/m</w:t>
      </w:r>
      <w:r>
        <w:rPr>
          <w:rFonts w:hint="eastAsia" w:ascii="宋体" w:hAnsi="宋体" w:eastAsia="宋体" w:cs="宋体"/>
          <w:color w:val="auto"/>
          <w:sz w:val="21"/>
          <w:szCs w:val="21"/>
          <w:vertAlign w:val="superscript"/>
          <w:lang w:val="en-US" w:eastAsia="zh-CN"/>
        </w:rPr>
        <w:t>2</w:t>
      </w:r>
      <w:r>
        <w:rPr>
          <w:rFonts w:hint="eastAsia" w:ascii="宋体" w:hAnsi="宋体" w:eastAsia="宋体" w:cs="宋体"/>
          <w:color w:val="auto"/>
          <w:sz w:val="21"/>
          <w:szCs w:val="21"/>
          <w:lang w:val="en-US" w:eastAsia="zh-CN"/>
        </w:rPr>
        <w:t>或腹型肥胖）；（4）重度吸烟史；（5）未使用质子泵抑制剂；（6）未使用非甾体消炎药以及他汀类药物。</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在我国，食管癌以鳞癌为主，腺癌约占5%左右</w:t>
      </w:r>
      <w:r>
        <w:rPr>
          <w:rFonts w:hint="eastAsia" w:ascii="宋体" w:hAnsi="宋体" w:eastAsia="宋体" w:cs="宋体"/>
          <w:color w:val="auto"/>
          <w:sz w:val="21"/>
          <w:szCs w:val="21"/>
          <w:vertAlign w:val="superscript"/>
          <w:lang w:val="en-US" w:eastAsia="zh-CN"/>
        </w:rPr>
        <w:t>[36]</w:t>
      </w:r>
      <w:r>
        <w:rPr>
          <w:rFonts w:hint="eastAsia" w:ascii="宋体" w:hAnsi="宋体" w:eastAsia="宋体" w:cs="宋体"/>
          <w:color w:val="auto"/>
          <w:sz w:val="21"/>
          <w:szCs w:val="21"/>
          <w:lang w:val="en-US" w:eastAsia="zh-CN"/>
        </w:rPr>
        <w:t>，故针对所有人群进行食管腺癌及癌前病变的筛查效价比不高。结合我国食管鳞癌发病率高的情况，建议在筛查食管鳞癌癌前病变时不应忽视食管腺癌癌前病变的发生。故推荐在对需要进行消化道内镜筛查的患者，应注意有无巴雷特食管以及可疑食管腺癌癌前病变的发生；对于不在鳞癌筛查范围内但符合3条及以上食管腺癌癌前病变目标人群者，也应定期进行消化道内镜筛查</w:t>
      </w:r>
      <w:r>
        <w:rPr>
          <w:rFonts w:hint="eastAsia" w:ascii="宋体" w:hAnsi="宋体" w:eastAsia="宋体" w:cs="宋体"/>
          <w:color w:val="auto"/>
          <w:sz w:val="21"/>
          <w:szCs w:val="21"/>
          <w:vertAlign w:val="superscript"/>
          <w:lang w:val="en-US" w:eastAsia="zh-CN"/>
        </w:rPr>
        <w:t>[36-39]</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6.2 筛查目标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推荐将上皮内瘤变（或异型增生）作为主要筛查目标。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6.3 筛查流程和方法</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exact"/>
        <w:ind w:firstLine="420" w:firstLineChars="200"/>
        <w:jc w:val="both"/>
        <w:textAlignment w:val="baseline"/>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在食管癌极高发地区，筛查目标人群推荐每5年1次内镜普查，其他地区推荐对目标人群进行食管癌风险分层初筛，高危个体每5年进行1次内镜筛查</w:t>
      </w:r>
      <w:r>
        <w:rPr>
          <w:rFonts w:hint="eastAsia" w:ascii="宋体" w:hAnsi="宋体" w:eastAsia="宋体" w:cs="宋体"/>
          <w:b w:val="0"/>
          <w:i w:val="0"/>
          <w:caps w:val="0"/>
          <w:color w:val="auto"/>
          <w:spacing w:val="0"/>
          <w:w w:val="100"/>
          <w:sz w:val="21"/>
          <w:szCs w:val="21"/>
          <w:vertAlign w:val="superscript"/>
          <w:lang w:val="en-US" w:eastAsia="zh-CN"/>
        </w:rPr>
        <w:t>[8]</w:t>
      </w:r>
      <w:r>
        <w:rPr>
          <w:rFonts w:hint="eastAsia" w:ascii="宋体" w:hAnsi="宋体" w:eastAsia="宋体" w:cs="宋体"/>
          <w:b w:val="0"/>
          <w:i w:val="0"/>
          <w:caps w:val="0"/>
          <w:color w:val="auto"/>
          <w:spacing w:val="0"/>
          <w:w w:val="1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exact"/>
        <w:ind w:firstLine="420" w:firstLineChars="200"/>
        <w:jc w:val="both"/>
        <w:textAlignment w:val="baseline"/>
        <w:rPr>
          <w:rFonts w:hint="eastAsia" w:ascii="宋体" w:hAnsi="宋体" w:eastAsia="宋体" w:cs="宋体"/>
          <w:b w:val="0"/>
          <w:i w:val="0"/>
          <w:caps w:val="0"/>
          <w:color w:val="auto"/>
          <w:spacing w:val="0"/>
          <w:w w:val="100"/>
          <w:sz w:val="21"/>
          <w:szCs w:val="21"/>
          <w:lang w:val="en-US" w:eastAsia="zh-CN"/>
        </w:rPr>
      </w:pPr>
      <w:r>
        <w:rPr>
          <w:rFonts w:hint="eastAsia" w:ascii="宋体" w:hAnsi="宋体" w:eastAsia="宋体" w:cs="宋体"/>
          <w:b w:val="0"/>
          <w:i w:val="0"/>
          <w:caps w:val="0"/>
          <w:color w:val="auto"/>
          <w:spacing w:val="0"/>
          <w:w w:val="100"/>
          <w:sz w:val="21"/>
          <w:szCs w:val="21"/>
          <w:lang w:val="en-US" w:eastAsia="zh-CN"/>
        </w:rPr>
        <w:t>对筛查发现的</w:t>
      </w:r>
      <w:r>
        <w:rPr>
          <w:rFonts w:hint="default" w:ascii="Times New Roman" w:hAnsi="Times New Roman" w:eastAsia="宋体" w:cs="Times New Roman"/>
          <w:color w:val="auto"/>
          <w:sz w:val="21"/>
          <w:szCs w:val="21"/>
          <w:lang w:val="en-US" w:eastAsia="zh-CN"/>
        </w:rPr>
        <w:t>LGIN</w:t>
      </w:r>
      <w:r>
        <w:rPr>
          <w:rFonts w:hint="eastAsia" w:ascii="宋体" w:hAnsi="宋体" w:eastAsia="宋体" w:cs="宋体"/>
          <w:b w:val="0"/>
          <w:i w:val="0"/>
          <w:caps w:val="0"/>
          <w:color w:val="auto"/>
          <w:spacing w:val="0"/>
          <w:w w:val="100"/>
          <w:sz w:val="21"/>
          <w:szCs w:val="21"/>
          <w:lang w:val="en-US" w:eastAsia="zh-CN"/>
        </w:rPr>
        <w:t>（轻、中度异型增生），病变直径大于1cm或者合并多重食管癌危险因素者，建议每1年进行1次内镜随访，其余患者可2～3年进行1次内镜随访,对筛查发现的</w:t>
      </w:r>
      <w:r>
        <w:rPr>
          <w:rFonts w:hint="default" w:ascii="Times New Roman" w:hAnsi="Times New Roman" w:eastAsia="宋体" w:cs="Times New Roman"/>
          <w:color w:val="auto"/>
          <w:sz w:val="21"/>
          <w:szCs w:val="21"/>
          <w:lang w:val="en-US" w:eastAsia="zh-CN"/>
        </w:rPr>
        <w:t>HGIN</w:t>
      </w:r>
      <w:r>
        <w:rPr>
          <w:rFonts w:hint="eastAsia" w:ascii="宋体" w:hAnsi="宋体" w:eastAsia="宋体" w:cs="宋体"/>
          <w:b w:val="0"/>
          <w:i w:val="0"/>
          <w:caps w:val="0"/>
          <w:color w:val="auto"/>
          <w:spacing w:val="0"/>
          <w:w w:val="100"/>
          <w:sz w:val="21"/>
          <w:szCs w:val="21"/>
          <w:lang w:val="en-US" w:eastAsia="zh-CN"/>
        </w:rPr>
        <w:t>（中度以上异型增生）应给予治疗</w:t>
      </w:r>
      <w:r>
        <w:rPr>
          <w:rFonts w:hint="eastAsia" w:ascii="宋体" w:hAnsi="宋体" w:eastAsia="宋体" w:cs="宋体"/>
          <w:b w:val="0"/>
          <w:i w:val="0"/>
          <w:caps w:val="0"/>
          <w:color w:val="auto"/>
          <w:spacing w:val="0"/>
          <w:w w:val="100"/>
          <w:sz w:val="21"/>
          <w:szCs w:val="21"/>
          <w:vertAlign w:val="superscript"/>
          <w:lang w:val="en-US" w:eastAsia="zh-CN"/>
        </w:rPr>
        <w:t>[8]</w:t>
      </w:r>
      <w:r>
        <w:rPr>
          <w:rFonts w:hint="eastAsia" w:ascii="宋体" w:hAnsi="宋体" w:eastAsia="宋体" w:cs="宋体"/>
          <w:b w:val="0"/>
          <w:i w:val="0"/>
          <w:caps w:val="0"/>
          <w:color w:val="auto"/>
          <w:spacing w:val="0"/>
          <w:w w:val="1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exact"/>
        <w:ind w:firstLine="420" w:firstLineChars="200"/>
        <w:jc w:val="both"/>
        <w:textAlignment w:val="baseline"/>
        <w:rPr>
          <w:rFonts w:hint="eastAsia" w:ascii="宋体" w:hAnsi="宋体" w:eastAsia="宋体" w:cs="宋体"/>
          <w:color w:val="auto"/>
          <w:sz w:val="21"/>
          <w:szCs w:val="21"/>
          <w:lang w:val="en-US" w:eastAsia="zh-CN"/>
        </w:rPr>
      </w:pPr>
      <w:r>
        <w:rPr>
          <w:rFonts w:hint="eastAsia" w:ascii="宋体" w:hAnsi="宋体" w:eastAsia="宋体" w:cs="宋体"/>
          <w:b w:val="0"/>
          <w:i w:val="0"/>
          <w:caps w:val="0"/>
          <w:color w:val="auto"/>
          <w:spacing w:val="0"/>
          <w:w w:val="100"/>
          <w:sz w:val="21"/>
          <w:szCs w:val="21"/>
          <w:lang w:val="en-US" w:eastAsia="zh-CN"/>
        </w:rPr>
        <w:t>常规白光内镜检查是诊断食管黏膜疾病的基础。</w:t>
      </w:r>
      <w:r>
        <w:rPr>
          <w:rFonts w:hint="eastAsia" w:ascii="宋体" w:hAnsi="宋体" w:eastAsia="宋体" w:cs="宋体"/>
          <w:color w:val="auto"/>
          <w:kern w:val="24"/>
          <w:sz w:val="21"/>
          <w:szCs w:val="21"/>
          <w:u w:color="000000"/>
        </w:rPr>
        <w:t>相比于进展期病变，上皮内瘤变及早期食管癌在白光内镜下改变常不明显，甚至难以发现，因此易造成漏诊。据研究报道，在食管癌高危人群筛查中常规白光内镜对早期食管癌及癌前病变诊断灵敏度为55.2%</w:t>
      </w:r>
      <w:r>
        <w:rPr>
          <w:rFonts w:hint="eastAsia" w:ascii="宋体" w:hAnsi="宋体" w:eastAsia="宋体" w:cs="宋体"/>
          <w:color w:val="auto"/>
          <w:kern w:val="24"/>
          <w:sz w:val="21"/>
          <w:szCs w:val="21"/>
          <w:u w:color="000000"/>
          <w:lang w:eastAsia="zh-CN"/>
        </w:rPr>
        <w:t>～</w:t>
      </w:r>
      <w:r>
        <w:rPr>
          <w:rFonts w:hint="eastAsia" w:ascii="宋体" w:hAnsi="宋体" w:eastAsia="宋体" w:cs="宋体"/>
          <w:color w:val="auto"/>
          <w:kern w:val="24"/>
          <w:sz w:val="21"/>
          <w:szCs w:val="21"/>
          <w:u w:color="000000"/>
        </w:rPr>
        <w:t>66.7%，即约40%的早期病变可能在白光内镜下漏诊。</w:t>
      </w:r>
      <w:r>
        <w:rPr>
          <w:rFonts w:hint="eastAsia" w:ascii="宋体" w:hAnsi="宋体" w:eastAsia="宋体" w:cs="宋体"/>
          <w:color w:val="auto"/>
          <w:sz w:val="21"/>
          <w:szCs w:val="21"/>
          <w:lang w:val="en-US" w:eastAsia="zh-CN"/>
        </w:rPr>
        <w:t>推荐用色素内镜、电子染色内镜及放大内镜联合异常区域靶向活检，这是目前诊断食管癌前病变的标准方法。色素内镜下染色的分级和分型有助于区分食管上皮病变性质和级别。电子染色内镜联合异常区域靶向活检可有效诊断食管上皮</w:t>
      </w:r>
      <w:r>
        <w:rPr>
          <w:rFonts w:hint="default" w:ascii="Times New Roman" w:hAnsi="Times New Roman" w:eastAsia="宋体" w:cs="Times New Roman"/>
          <w:color w:val="auto"/>
          <w:sz w:val="21"/>
          <w:szCs w:val="21"/>
          <w:lang w:val="en-US" w:eastAsia="zh-CN"/>
        </w:rPr>
        <w:t>HGIN</w:t>
      </w:r>
      <w:r>
        <w:rPr>
          <w:rFonts w:hint="eastAsia" w:ascii="宋体" w:hAnsi="宋体" w:eastAsia="宋体" w:cs="宋体"/>
          <w:color w:val="auto"/>
          <w:sz w:val="21"/>
          <w:szCs w:val="21"/>
          <w:lang w:val="en-US" w:eastAsia="zh-CN"/>
        </w:rPr>
        <w:t>及癌变，但诊断</w:t>
      </w:r>
      <w:r>
        <w:rPr>
          <w:rFonts w:hint="default" w:ascii="Times New Roman" w:hAnsi="Times New Roman" w:eastAsia="宋体" w:cs="Times New Roman"/>
          <w:color w:val="auto"/>
          <w:sz w:val="21"/>
          <w:szCs w:val="21"/>
          <w:lang w:val="en-US" w:eastAsia="zh-CN"/>
        </w:rPr>
        <w:t>LGIN</w:t>
      </w:r>
      <w:r>
        <w:rPr>
          <w:rFonts w:hint="eastAsia" w:ascii="宋体" w:hAnsi="宋体" w:eastAsia="宋体" w:cs="宋体"/>
          <w:color w:val="auto"/>
          <w:sz w:val="21"/>
          <w:szCs w:val="21"/>
          <w:lang w:val="en-US" w:eastAsia="zh-CN"/>
        </w:rPr>
        <w:t>灵敏度不及色素内镜染色。电子染色联合放大内镜可用于评估癌前病变的级别。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 干预</w:t>
      </w:r>
      <w:bookmarkStart w:id="23" w:name="_Toc507658330"/>
      <w:bookmarkStart w:id="24" w:name="_Toc505637324"/>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lang w:val="en-US" w:eastAsia="zh-CN"/>
        </w:rPr>
      </w:pPr>
      <w:r>
        <w:rPr>
          <w:rFonts w:hint="eastAsia" w:ascii="黑体" w:hAnsi="黑体" w:eastAsia="黑体" w:cs="黑体"/>
          <w:b w:val="0"/>
          <w:bCs w:val="0"/>
          <w:color w:val="auto"/>
          <w:lang w:val="en-US" w:eastAsia="zh-CN"/>
        </w:rPr>
        <w:t>7.1 概述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rPr>
      </w:pPr>
      <w:r>
        <w:rPr>
          <w:rFonts w:hint="eastAsia" w:ascii="黑体" w:hAnsi="黑体" w:eastAsia="黑体" w:cs="黑体"/>
          <w:b w:val="0"/>
          <w:bCs w:val="0"/>
          <w:color w:val="auto"/>
          <w:lang w:val="en-US" w:eastAsia="zh-CN"/>
        </w:rPr>
        <w:t xml:space="preserve">7.1.1 </w:t>
      </w:r>
      <w:r>
        <w:rPr>
          <w:rFonts w:hint="eastAsia" w:ascii="黑体" w:hAnsi="黑体" w:eastAsia="黑体" w:cs="黑体"/>
          <w:b w:val="0"/>
          <w:bCs w:val="0"/>
          <w:color w:val="auto"/>
        </w:rPr>
        <w:t>干预原则</w:t>
      </w:r>
      <w:bookmarkEnd w:id="23"/>
      <w:bookmarkEnd w:id="24"/>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color w:val="auto"/>
          <w:szCs w:val="21"/>
        </w:rPr>
      </w:pPr>
      <w:r>
        <w:rPr>
          <w:rFonts w:hint="eastAsia"/>
          <w:color w:val="auto"/>
          <w:szCs w:val="21"/>
        </w:rPr>
        <w:t>应在明确</w:t>
      </w:r>
      <w:r>
        <w:rPr>
          <w:rFonts w:hint="eastAsia"/>
          <w:color w:val="auto"/>
          <w:szCs w:val="21"/>
          <w:lang w:val="en-US" w:eastAsia="zh-CN"/>
        </w:rPr>
        <w:t>高危人群</w:t>
      </w:r>
      <w:r>
        <w:rPr>
          <w:rFonts w:hint="eastAsia"/>
          <w:color w:val="auto"/>
          <w:szCs w:val="21"/>
        </w:rPr>
        <w:t>、</w:t>
      </w:r>
      <w:r>
        <w:rPr>
          <w:rFonts w:hint="eastAsia"/>
          <w:color w:val="auto"/>
          <w:szCs w:val="21"/>
          <w:lang w:val="en-US" w:eastAsia="zh-CN"/>
        </w:rPr>
        <w:t>确诊人群</w:t>
      </w:r>
      <w:r>
        <w:rPr>
          <w:rFonts w:hint="eastAsia"/>
          <w:color w:val="auto"/>
          <w:szCs w:val="21"/>
        </w:rPr>
        <w:t>的基础上</w:t>
      </w:r>
      <w:r>
        <w:rPr>
          <w:rFonts w:hint="eastAsia"/>
          <w:color w:val="auto"/>
          <w:szCs w:val="21"/>
          <w:lang w:val="en-US" w:eastAsia="zh-CN"/>
        </w:rPr>
        <w:t>进行</w:t>
      </w:r>
      <w:r>
        <w:rPr>
          <w:rFonts w:hint="eastAsia"/>
          <w:color w:val="auto"/>
          <w:szCs w:val="21"/>
        </w:rPr>
        <w:t>干预</w:t>
      </w:r>
      <w:r>
        <w:rPr>
          <w:rFonts w:hint="eastAsia"/>
          <w:color w:val="auto"/>
          <w:szCs w:val="21"/>
          <w:lang w:eastAsia="zh-CN"/>
        </w:rPr>
        <w:t>；</w:t>
      </w:r>
      <w:r>
        <w:rPr>
          <w:rFonts w:hint="eastAsia"/>
          <w:color w:val="auto"/>
          <w:szCs w:val="21"/>
        </w:rPr>
        <w:t>总的原则：辨析病因、</w:t>
      </w:r>
      <w:r>
        <w:rPr>
          <w:rFonts w:hint="eastAsia"/>
          <w:color w:val="auto"/>
          <w:szCs w:val="21"/>
          <w:lang w:val="en-US" w:eastAsia="zh-CN"/>
        </w:rPr>
        <w:t>未病先防，</w:t>
      </w:r>
      <w:r>
        <w:rPr>
          <w:rFonts w:hint="eastAsia"/>
          <w:color w:val="auto"/>
          <w:szCs w:val="21"/>
        </w:rPr>
        <w:t>对</w:t>
      </w:r>
      <w:r>
        <w:rPr>
          <w:rFonts w:hint="eastAsia"/>
          <w:color w:val="auto"/>
          <w:szCs w:val="21"/>
          <w:lang w:val="en-US" w:eastAsia="zh-CN"/>
        </w:rPr>
        <w:t>证（</w:t>
      </w:r>
      <w:r>
        <w:rPr>
          <w:rFonts w:hint="eastAsia"/>
          <w:color w:val="auto"/>
          <w:szCs w:val="21"/>
        </w:rPr>
        <w:t>症</w:t>
      </w:r>
      <w:r>
        <w:rPr>
          <w:rFonts w:hint="eastAsia"/>
          <w:color w:val="auto"/>
          <w:szCs w:val="21"/>
          <w:lang w:val="en-US" w:eastAsia="zh-CN"/>
        </w:rPr>
        <w:t>）</w:t>
      </w:r>
      <w:r>
        <w:rPr>
          <w:rFonts w:hint="eastAsia"/>
          <w:color w:val="auto"/>
          <w:szCs w:val="21"/>
        </w:rPr>
        <w:t>干预</w:t>
      </w:r>
      <w:r>
        <w:rPr>
          <w:rFonts w:hint="eastAsia"/>
          <w:color w:val="auto"/>
          <w:szCs w:val="21"/>
          <w:lang w:eastAsia="zh-CN"/>
        </w:rPr>
        <w:t>、</w:t>
      </w:r>
      <w:r>
        <w:rPr>
          <w:rFonts w:hint="eastAsia"/>
          <w:color w:val="auto"/>
          <w:szCs w:val="21"/>
          <w:lang w:val="en-US" w:eastAsia="zh-CN"/>
        </w:rPr>
        <w:t>已病防变</w:t>
      </w:r>
      <w:r>
        <w:rPr>
          <w:rFonts w:hint="eastAsia"/>
          <w:color w:val="auto"/>
          <w:szCs w:val="21"/>
        </w:rPr>
        <w:t>，</w:t>
      </w:r>
      <w:r>
        <w:rPr>
          <w:rFonts w:hint="eastAsia"/>
          <w:color w:val="auto"/>
          <w:szCs w:val="21"/>
          <w:lang w:val="en-US" w:eastAsia="zh-CN"/>
        </w:rPr>
        <w:t>防治结合</w:t>
      </w:r>
      <w:r>
        <w:rPr>
          <w:rFonts w:hint="eastAsia"/>
          <w:color w:val="auto"/>
          <w:szCs w:val="21"/>
          <w:lang w:eastAsia="zh-CN"/>
        </w:rPr>
        <w:t>、</w:t>
      </w:r>
      <w:r>
        <w:rPr>
          <w:rFonts w:hint="eastAsia"/>
          <w:color w:val="auto"/>
          <w:szCs w:val="21"/>
          <w:lang w:val="en-US" w:eastAsia="zh-CN"/>
        </w:rPr>
        <w:t>瘥后防复</w:t>
      </w:r>
      <w:r>
        <w:rPr>
          <w:rFonts w:hint="eastAsia"/>
          <w:color w:val="auto"/>
          <w:szCs w:val="21"/>
        </w:rPr>
        <w:t>。</w:t>
      </w:r>
      <w:bookmarkStart w:id="25" w:name="_Toc507658331"/>
      <w:bookmarkStart w:id="26" w:name="_Toc505637325"/>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rPr>
      </w:pPr>
      <w:r>
        <w:rPr>
          <w:rFonts w:hint="eastAsia" w:ascii="黑体" w:hAnsi="黑体" w:eastAsia="黑体" w:cs="黑体"/>
          <w:b w:val="0"/>
          <w:bCs w:val="0"/>
          <w:color w:val="auto"/>
          <w:lang w:val="en-US" w:eastAsia="zh-CN"/>
        </w:rPr>
        <w:t xml:space="preserve">7.1.2 </w:t>
      </w:r>
      <w:r>
        <w:rPr>
          <w:rFonts w:hint="eastAsia" w:ascii="黑体" w:hAnsi="黑体" w:eastAsia="黑体" w:cs="黑体"/>
          <w:b w:val="0"/>
          <w:bCs w:val="0"/>
          <w:color w:val="auto"/>
        </w:rPr>
        <w:t>干预特点</w:t>
      </w:r>
      <w:bookmarkEnd w:id="25"/>
      <w:bookmarkEnd w:id="26"/>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cs="宋体"/>
          <w:color w:val="auto"/>
          <w:kern w:val="0"/>
          <w:szCs w:val="21"/>
        </w:rPr>
      </w:pPr>
      <w:r>
        <w:rPr>
          <w:rFonts w:hint="eastAsia"/>
          <w:color w:val="auto"/>
          <w:szCs w:val="21"/>
        </w:rPr>
        <w:t>中医药干预</w:t>
      </w:r>
      <w:r>
        <w:rPr>
          <w:rFonts w:hint="eastAsia"/>
          <w:color w:val="auto"/>
          <w:szCs w:val="21"/>
          <w:lang w:val="en-US" w:eastAsia="zh-CN"/>
        </w:rPr>
        <w:t>食管癌前病变</w:t>
      </w:r>
      <w:r>
        <w:rPr>
          <w:rFonts w:hint="eastAsia"/>
          <w:bCs/>
          <w:color w:val="auto"/>
          <w:szCs w:val="21"/>
        </w:rPr>
        <w:t>以中医整体观念作为理论依据</w:t>
      </w:r>
      <w:r>
        <w:rPr>
          <w:rFonts w:hint="eastAsia"/>
          <w:bCs/>
          <w:color w:val="auto"/>
          <w:szCs w:val="21"/>
          <w:lang w:eastAsia="zh-CN"/>
        </w:rPr>
        <w:t>，</w:t>
      </w:r>
      <w:r>
        <w:rPr>
          <w:rFonts w:hint="eastAsia"/>
          <w:bCs/>
          <w:color w:val="auto"/>
          <w:szCs w:val="21"/>
        </w:rPr>
        <w:t>通过</w:t>
      </w:r>
      <w:r>
        <w:rPr>
          <w:rFonts w:hint="eastAsia"/>
          <w:color w:val="auto"/>
          <w:szCs w:val="21"/>
        </w:rPr>
        <w:t>中药</w:t>
      </w:r>
      <w:r>
        <w:rPr>
          <w:rFonts w:hint="eastAsia"/>
          <w:color w:val="auto"/>
          <w:szCs w:val="21"/>
          <w:lang w:eastAsia="zh-CN"/>
        </w:rPr>
        <w:t>、</w:t>
      </w:r>
      <w:r>
        <w:rPr>
          <w:rFonts w:hint="eastAsia"/>
          <w:color w:val="auto"/>
          <w:szCs w:val="21"/>
          <w:lang w:val="en-US" w:eastAsia="zh-CN"/>
        </w:rPr>
        <w:t>食疗、针灸、推拿</w:t>
      </w:r>
      <w:r>
        <w:rPr>
          <w:rFonts w:hint="eastAsia"/>
          <w:bCs/>
          <w:color w:val="auto"/>
          <w:szCs w:val="21"/>
        </w:rPr>
        <w:t>等干预措施辨证干预</w:t>
      </w:r>
      <w:bookmarkStart w:id="27" w:name="OLE_LINK8"/>
      <w:r>
        <w:rPr>
          <w:rFonts w:hint="eastAsia"/>
          <w:bCs/>
          <w:color w:val="auto"/>
          <w:szCs w:val="21"/>
        </w:rPr>
        <w:t>，</w:t>
      </w:r>
      <w:r>
        <w:rPr>
          <w:rFonts w:hint="eastAsia" w:ascii="宋体" w:hAnsi="宋体" w:cs="宋体"/>
          <w:color w:val="auto"/>
          <w:kern w:val="0"/>
          <w:szCs w:val="21"/>
        </w:rPr>
        <w:t>促进</w:t>
      </w:r>
      <w:r>
        <w:rPr>
          <w:rFonts w:hint="eastAsia" w:ascii="宋体" w:hAnsi="宋体" w:cs="宋体"/>
          <w:color w:val="auto"/>
          <w:kern w:val="0"/>
          <w:szCs w:val="21"/>
          <w:lang w:val="en-US" w:eastAsia="zh-CN"/>
        </w:rPr>
        <w:t>食管癌前病变的</w:t>
      </w:r>
      <w:r>
        <w:rPr>
          <w:rFonts w:hint="eastAsia" w:ascii="宋体" w:hAnsi="宋体" w:cs="宋体"/>
          <w:color w:val="auto"/>
          <w:kern w:val="0"/>
          <w:szCs w:val="21"/>
        </w:rPr>
        <w:t>恢复，</w:t>
      </w:r>
      <w:r>
        <w:rPr>
          <w:rFonts w:hint="eastAsia" w:ascii="宋体" w:hAnsi="宋体" w:cs="宋体"/>
          <w:color w:val="auto"/>
          <w:kern w:val="0"/>
          <w:szCs w:val="21"/>
          <w:lang w:val="en-US" w:eastAsia="zh-CN"/>
        </w:rPr>
        <w:t>减少或延缓食管癌</w:t>
      </w:r>
      <w:r>
        <w:rPr>
          <w:rFonts w:hint="eastAsia" w:ascii="宋体" w:hAnsi="宋体" w:cs="宋体"/>
          <w:color w:val="auto"/>
          <w:kern w:val="0"/>
          <w:szCs w:val="21"/>
        </w:rPr>
        <w:t>的发生。</w:t>
      </w:r>
      <w:bookmarkEnd w:id="27"/>
      <w:bookmarkStart w:id="28" w:name="_Toc507658332"/>
      <w:bookmarkStart w:id="29" w:name="_Toc505637326"/>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lang w:val="en-US" w:eastAsia="zh-CN"/>
        </w:rPr>
      </w:pPr>
      <w:r>
        <w:rPr>
          <w:rFonts w:hint="eastAsia" w:ascii="黑体" w:hAnsi="黑体" w:eastAsia="黑体" w:cs="黑体"/>
          <w:b w:val="0"/>
          <w:bCs w:val="0"/>
          <w:color w:val="auto"/>
          <w:lang w:val="en-US" w:eastAsia="zh-CN"/>
        </w:rPr>
        <w:t>7.1.3 干预时机</w:t>
      </w:r>
      <w:bookmarkEnd w:id="28"/>
      <w:bookmarkEnd w:id="29"/>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cs="宋体" w:eastAsiaTheme="minorEastAsia"/>
          <w:color w:val="auto"/>
          <w:kern w:val="0"/>
          <w:szCs w:val="21"/>
          <w:lang w:val="en-US" w:eastAsia="zh-CN"/>
        </w:rPr>
      </w:pPr>
      <w:r>
        <w:rPr>
          <w:color w:val="auto"/>
          <w:szCs w:val="21"/>
        </w:rPr>
        <w:t xml:space="preserve">    </w:t>
      </w:r>
      <w:r>
        <w:rPr>
          <w:rFonts w:hint="eastAsia"/>
          <w:color w:val="auto"/>
        </w:rPr>
        <w:t>对于高危人群</w:t>
      </w:r>
      <w:r>
        <w:rPr>
          <w:rFonts w:hint="eastAsia"/>
          <w:color w:val="auto"/>
          <w:lang w:val="en-US" w:eastAsia="zh-CN"/>
        </w:rPr>
        <w:t>及康复期患者</w:t>
      </w:r>
      <w:r>
        <w:rPr>
          <w:rFonts w:hint="eastAsia"/>
          <w:color w:val="auto"/>
        </w:rPr>
        <w:t>，需针对不同危险因素采用</w:t>
      </w:r>
      <w:bookmarkStart w:id="30" w:name="OLE_LINK7"/>
      <w:r>
        <w:rPr>
          <w:rFonts w:hint="eastAsia"/>
          <w:color w:val="auto"/>
          <w:lang w:val="en-US" w:eastAsia="zh-CN"/>
        </w:rPr>
        <w:t>饮食、运动、生活方式</w:t>
      </w:r>
      <w:r>
        <w:rPr>
          <w:rFonts w:hint="eastAsia"/>
          <w:bCs/>
          <w:color w:val="auto"/>
          <w:szCs w:val="21"/>
        </w:rPr>
        <w:t>等干预措施</w:t>
      </w:r>
      <w:bookmarkEnd w:id="30"/>
      <w:r>
        <w:rPr>
          <w:rFonts w:hint="eastAsia"/>
          <w:bCs/>
          <w:color w:val="auto"/>
          <w:szCs w:val="21"/>
        </w:rPr>
        <w:t>；对于</w:t>
      </w:r>
      <w:r>
        <w:rPr>
          <w:rFonts w:hint="eastAsia"/>
          <w:bCs/>
          <w:color w:val="auto"/>
          <w:szCs w:val="21"/>
          <w:lang w:val="en-US" w:eastAsia="zh-CN"/>
        </w:rPr>
        <w:t>食管癌前病变的患者</w:t>
      </w:r>
      <w:r>
        <w:rPr>
          <w:rFonts w:hint="eastAsia"/>
          <w:bCs/>
          <w:color w:val="auto"/>
          <w:szCs w:val="21"/>
        </w:rPr>
        <w:t>可将多种中医药干预措施联合运用。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lang w:val="en-US" w:eastAsia="zh-CN"/>
        </w:rPr>
      </w:pPr>
      <w:bookmarkStart w:id="31" w:name="_Toc505637327"/>
      <w:bookmarkStart w:id="32" w:name="_Toc507658333"/>
      <w:r>
        <w:rPr>
          <w:rFonts w:hint="eastAsia" w:ascii="黑体" w:hAnsi="黑体" w:eastAsia="黑体" w:cs="黑体"/>
          <w:b w:val="0"/>
          <w:bCs w:val="0"/>
          <w:color w:val="auto"/>
          <w:lang w:val="en-US" w:eastAsia="zh-CN"/>
        </w:rPr>
        <w:t>7.1.4 主要结局指标</w:t>
      </w:r>
      <w:bookmarkEnd w:id="31"/>
      <w:bookmarkEnd w:id="32"/>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color w:val="auto"/>
          <w:szCs w:val="21"/>
        </w:rPr>
        <w:t>中医干预</w:t>
      </w:r>
      <w:r>
        <w:rPr>
          <w:rFonts w:hint="eastAsia" w:ascii="宋体" w:hAnsi="宋体"/>
          <w:color w:val="auto"/>
          <w:szCs w:val="21"/>
          <w:lang w:val="en-US" w:eastAsia="zh-CN"/>
        </w:rPr>
        <w:t>食管癌前病变可</w:t>
      </w:r>
      <w:r>
        <w:rPr>
          <w:rFonts w:hint="eastAsia" w:ascii="宋体" w:hAnsi="宋体"/>
          <w:color w:val="auto"/>
          <w:szCs w:val="21"/>
        </w:rPr>
        <w:t>改善患者</w:t>
      </w:r>
      <w:r>
        <w:rPr>
          <w:rFonts w:hint="eastAsia" w:ascii="宋体" w:hAnsi="宋体"/>
          <w:color w:val="auto"/>
          <w:szCs w:val="21"/>
          <w:lang w:val="en-US" w:eastAsia="zh-CN"/>
        </w:rPr>
        <w:t>反酸、烧心、纳呆、胸骨后不适</w:t>
      </w:r>
      <w:r>
        <w:rPr>
          <w:rFonts w:hint="eastAsia" w:ascii="宋体" w:hAnsi="宋体"/>
          <w:color w:val="auto"/>
          <w:szCs w:val="21"/>
        </w:rPr>
        <w:t>等症状</w:t>
      </w:r>
      <w:r>
        <w:rPr>
          <w:rFonts w:hint="eastAsia" w:ascii="宋体" w:hAnsi="宋体"/>
          <w:color w:val="auto"/>
          <w:szCs w:val="21"/>
          <w:lang w:eastAsia="zh-CN"/>
        </w:rPr>
        <w:t>，</w:t>
      </w:r>
      <w:r>
        <w:rPr>
          <w:rFonts w:hint="eastAsia" w:ascii="宋体" w:hAnsi="宋体"/>
          <w:color w:val="auto"/>
          <w:szCs w:val="21"/>
          <w:lang w:val="en-US" w:eastAsia="zh-CN"/>
        </w:rPr>
        <w:t>逆转食管癌</w:t>
      </w:r>
      <w:r>
        <w:rPr>
          <w:rFonts w:hint="eastAsia"/>
          <w:color w:val="auto"/>
          <w:lang w:val="en-US" w:eastAsia="zh-CN"/>
        </w:rPr>
        <w:t>前病变，延缓食管癌前病变的进展，降低食管癌的发病率。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7.1.5 卫生经济学评估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cs="宋体"/>
          <w:color w:val="auto"/>
          <w:szCs w:val="21"/>
          <w:lang w:val="en-US"/>
        </w:rPr>
      </w:pPr>
      <w:r>
        <w:rPr>
          <w:rFonts w:hint="eastAsia" w:ascii="宋体" w:hAnsi="宋体" w:cs="宋体"/>
          <w:color w:val="auto"/>
          <w:szCs w:val="21"/>
          <w:lang w:val="en-US" w:eastAsia="zh-CN"/>
        </w:rPr>
        <w:t>延缓或逆转食管癌前病变，防止患癌后家庭所产生的巨大经济压力。同时降低食管癌的发病率，减轻社会经济负担。</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lang w:val="en-US" w:eastAsia="zh-CN"/>
        </w:rPr>
      </w:pPr>
      <w:r>
        <w:rPr>
          <w:rFonts w:hint="eastAsia" w:ascii="黑体" w:hAnsi="黑体" w:eastAsia="黑体" w:cs="黑体"/>
          <w:color w:val="auto"/>
          <w:lang w:val="en-US" w:eastAsia="zh-CN"/>
        </w:rPr>
        <w:t>7.1.6 患者耐受性和生活质量评价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color w:val="auto"/>
          <w:lang w:val="en-US" w:eastAsia="zh-CN"/>
        </w:rPr>
        <w:t>在干预措施中，主要通过改善饮食习惯、增强体质、情志调节等进行预防，另外内治法采用口服中药汤剂、中成药、食疗等措施，外治法包括针灸、推拿、贴敷熏洗等手段进行干预，具有良好的依从性和耐受性，使其生活质量得到提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7.1.7 不良反应和安全性评价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color w:val="auto"/>
          <w:lang w:val="en-US" w:eastAsia="zh-CN"/>
        </w:rPr>
        <w:t>推荐的中药均为经典方剂，不良反应少；推荐中成药均为国家药典所载，均有明确规范的处方组成、功能与主治、用法与用量等规定，便于正确用药；外治法中推荐的针灸、推拿、敷贴熏洗等方法，安全可靠。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7.2 未病先防</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7.2.1 概述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20" w:firstLineChars="200"/>
        <w:textAlignment w:val="auto"/>
        <w:rPr>
          <w:rFonts w:hint="default" w:ascii="黑体" w:hAnsi="黑体" w:eastAsia="Heiti SC Light" w:cs="黑体"/>
          <w:color w:val="auto"/>
          <w:sz w:val="21"/>
          <w:szCs w:val="21"/>
          <w:lang w:val="en-US" w:eastAsia="zh-CN"/>
        </w:rPr>
      </w:pPr>
      <w:r>
        <w:rPr>
          <w:rFonts w:hint="eastAsia" w:ascii="宋体" w:hAnsi="宋体" w:eastAsia="宋体" w:cs="宋体"/>
          <w:color w:val="auto"/>
          <w:sz w:val="21"/>
          <w:szCs w:val="21"/>
          <w:lang w:val="en-US" w:eastAsia="zh-CN"/>
        </w:rPr>
        <w:t>食管癌前病变的高危人群，多无明显的临床症状</w:t>
      </w:r>
      <w:r>
        <w:rPr>
          <w:rFonts w:hint="eastAsia" w:hAnsi="宋体" w:eastAsia="宋体" w:cs="宋体"/>
          <w:color w:val="auto"/>
          <w:sz w:val="21"/>
          <w:szCs w:val="21"/>
          <w:lang w:val="en-US" w:eastAsia="zh-CN"/>
        </w:rPr>
        <w:t>或症状较轻，</w:t>
      </w:r>
      <w:r>
        <w:rPr>
          <w:rFonts w:hint="eastAsia" w:ascii="宋体" w:hAnsi="宋体" w:eastAsia="宋体" w:cs="宋体"/>
          <w:color w:val="auto"/>
          <w:sz w:val="21"/>
          <w:szCs w:val="21"/>
          <w:lang w:val="en-US" w:eastAsia="zh-CN"/>
        </w:rPr>
        <w:t>内镜下</w:t>
      </w:r>
      <w:r>
        <w:rPr>
          <w:rFonts w:hint="eastAsia" w:hAnsi="宋体" w:eastAsia="宋体" w:cs="宋体"/>
          <w:color w:val="auto"/>
          <w:sz w:val="21"/>
          <w:szCs w:val="21"/>
          <w:lang w:val="en-US" w:eastAsia="zh-CN"/>
        </w:rPr>
        <w:t>可有轻度的黏膜异常表现。</w:t>
      </w:r>
      <w:r>
        <w:rPr>
          <w:rFonts w:hint="eastAsia" w:ascii="宋体" w:hAnsi="宋体" w:eastAsia="宋体" w:cs="宋体"/>
          <w:color w:val="auto"/>
          <w:sz w:val="21"/>
          <w:szCs w:val="21"/>
          <w:lang w:val="en-US" w:eastAsia="zh-CN"/>
        </w:rPr>
        <w:t>对于这一部分人群，我们应做好未病先防工作，</w:t>
      </w:r>
      <w:r>
        <w:rPr>
          <w:rFonts w:hint="eastAsia" w:hAnsi="宋体" w:eastAsia="宋体" w:cs="宋体"/>
          <w:color w:val="auto"/>
          <w:sz w:val="21"/>
          <w:szCs w:val="21"/>
          <w:lang w:val="en-US" w:eastAsia="zh-CN"/>
        </w:rPr>
        <w:t>通过</w:t>
      </w:r>
      <w:r>
        <w:rPr>
          <w:rFonts w:hint="eastAsia" w:ascii="Heiti SC Light" w:hAnsi="Times" w:eastAsia="Heiti SC Light" w:cs="Times"/>
          <w:color w:val="auto"/>
          <w:kern w:val="0"/>
          <w:sz w:val="21"/>
          <w:szCs w:val="21"/>
        </w:rPr>
        <w:t>改善生活方式</w:t>
      </w:r>
      <w:r>
        <w:rPr>
          <w:rFonts w:hint="eastAsia" w:ascii="Heiti SC Light" w:hAnsi="Times" w:eastAsia="Heiti SC Light" w:cs="Times"/>
          <w:color w:val="auto"/>
          <w:kern w:val="0"/>
          <w:sz w:val="21"/>
          <w:szCs w:val="21"/>
          <w:lang w:eastAsia="zh-CN"/>
        </w:rPr>
        <w:t>、</w:t>
      </w:r>
      <w:r>
        <w:rPr>
          <w:rFonts w:hint="eastAsia" w:ascii="Heiti SC Light" w:hAnsi="Times" w:eastAsia="Heiti SC Light" w:cs="Times"/>
          <w:color w:val="auto"/>
          <w:kern w:val="0"/>
          <w:sz w:val="21"/>
          <w:szCs w:val="21"/>
        </w:rPr>
        <w:t>合理饮食</w:t>
      </w:r>
      <w:r>
        <w:rPr>
          <w:rFonts w:hint="eastAsia" w:ascii="Heiti SC Light" w:hAnsi="Times" w:eastAsia="Heiti SC Light" w:cs="Times"/>
          <w:color w:val="auto"/>
          <w:kern w:val="0"/>
          <w:sz w:val="21"/>
          <w:szCs w:val="21"/>
          <w:lang w:eastAsia="zh-CN"/>
        </w:rPr>
        <w:t>、</w:t>
      </w:r>
      <w:r>
        <w:rPr>
          <w:rFonts w:hint="eastAsia" w:ascii="Heiti SC Light" w:hAnsi="Times" w:eastAsia="Heiti SC Light" w:cs="Times"/>
          <w:color w:val="auto"/>
          <w:kern w:val="0"/>
          <w:sz w:val="21"/>
          <w:szCs w:val="21"/>
        </w:rPr>
        <w:t>规律作息</w:t>
      </w:r>
      <w:r>
        <w:rPr>
          <w:rFonts w:hint="eastAsia" w:ascii="Heiti SC Light" w:hAnsi="Times" w:eastAsia="Heiti SC Light" w:cs="Times"/>
          <w:color w:val="auto"/>
          <w:kern w:val="0"/>
          <w:sz w:val="21"/>
          <w:szCs w:val="21"/>
          <w:lang w:eastAsia="zh-CN"/>
        </w:rPr>
        <w:t>、</w:t>
      </w:r>
      <w:r>
        <w:rPr>
          <w:rFonts w:hint="eastAsia" w:ascii="Heiti SC Light" w:hAnsi="Times" w:eastAsia="Heiti SC Light" w:cs="Times"/>
          <w:color w:val="auto"/>
          <w:kern w:val="0"/>
          <w:sz w:val="21"/>
          <w:szCs w:val="21"/>
        </w:rPr>
        <w:t>适当运动</w:t>
      </w:r>
      <w:r>
        <w:rPr>
          <w:rFonts w:hint="eastAsia" w:ascii="Heiti SC Light" w:hAnsi="Times" w:eastAsia="Heiti SC Light" w:cs="Times"/>
          <w:color w:val="auto"/>
          <w:kern w:val="0"/>
          <w:sz w:val="21"/>
          <w:szCs w:val="21"/>
          <w:lang w:val="en-US" w:eastAsia="zh-CN"/>
        </w:rPr>
        <w:t>预防和延缓食管癌前病变的发生。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7.2.2发病危险因素</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存在消化系统症状的人群更容易发生食管癌前病变，这是因为不良因素长期刺激食管，可引起食管上皮细胞在增殖过程中受到致癌物质的影响而发生增生或瘤变，因此有消化道症状的人群其发病风险会比一般人群高。</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2)慢性食管炎患者，食管内壁黏膜细胞因为炎症而处于活跃的代谢状态，容易发生癌前病变。</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3)有食管癌家族史的人群，癌前病变的发病风险要比常人高出许多，有一定的家族聚集现象。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4)有不良生活习惯如吸烟、饮酒的人群，或者爱吃腌制、熏制食物，缺乏维生素摄入的人群容易导致食管癌前病变的发生。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7.2.3 生活方式干预</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 96.64%，</w:t>
      </w:r>
      <w:r>
        <w:rPr>
          <w:rFonts w:hint="eastAsia" w:ascii="黑体" w:hAnsi="黑体" w:eastAsia="黑体" w:cs="黑体"/>
          <w:color w:val="auto"/>
          <w:kern w:val="0"/>
          <w:sz w:val="21"/>
          <w:szCs w:val="21"/>
          <w:lang w:val="en-US" w:eastAsia="zh-CN" w:bidi="ar"/>
        </w:rPr>
        <w:t>同意但保留部分意见3.36%</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1）饮食有节，避免“四过”</w:t>
      </w:r>
      <w:r>
        <w:rPr>
          <w:rFonts w:hint="eastAsia" w:ascii="宋体" w:hAnsi="宋体" w:eastAsia="宋体" w:cs="宋体"/>
          <w:b w:val="0"/>
          <w:bCs w:val="0"/>
          <w:color w:val="auto"/>
          <w:sz w:val="21"/>
          <w:szCs w:val="21"/>
          <w:vertAlign w:val="superscript"/>
          <w:lang w:val="en-US" w:eastAsia="zh-CN"/>
        </w:rPr>
        <w:t>[40-43]</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rPr>
        <w:t>过烫、过硬</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过</w:t>
      </w:r>
      <w:r>
        <w:rPr>
          <w:rFonts w:hint="eastAsia" w:ascii="宋体" w:hAnsi="宋体" w:eastAsia="宋体" w:cs="宋体"/>
          <w:color w:val="auto"/>
          <w:sz w:val="21"/>
          <w:szCs w:val="21"/>
        </w:rPr>
        <w:t>粗糙及过快饮食容易造成口腔、食管和胃黏膜损伤，长期黏膜损伤加上反复炎症刺激，易诱发食管癌</w:t>
      </w:r>
      <w:r>
        <w:rPr>
          <w:rFonts w:hint="eastAsia" w:ascii="宋体" w:hAnsi="宋体" w:eastAsia="宋体" w:cs="宋体"/>
          <w:color w:val="auto"/>
          <w:sz w:val="21"/>
          <w:szCs w:val="21"/>
          <w:lang w:val="en-US" w:eastAsia="zh-CN"/>
        </w:rPr>
        <w:t>前</w:t>
      </w:r>
      <w:r>
        <w:rPr>
          <w:rFonts w:hint="eastAsia" w:ascii="宋体" w:hAnsi="宋体" w:eastAsia="宋体" w:cs="宋体"/>
          <w:color w:val="auto"/>
          <w:sz w:val="21"/>
          <w:szCs w:val="21"/>
        </w:rPr>
        <w:t>病变，因此应避免“四过”。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2）口腔保健，抑菌防变</w:t>
      </w:r>
      <w:r>
        <w:rPr>
          <w:rFonts w:hint="eastAsia" w:ascii="宋体" w:hAnsi="宋体" w:eastAsia="宋体" w:cs="宋体"/>
          <w:b w:val="0"/>
          <w:bCs w:val="0"/>
          <w:color w:val="auto"/>
          <w:sz w:val="21"/>
          <w:szCs w:val="21"/>
          <w:vertAlign w:val="superscript"/>
          <w:lang w:val="en-US" w:eastAsia="zh-CN"/>
        </w:rPr>
        <w:t>[44]</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rPr>
        <w:t>牙龈卟啉单胞菌感染已被证实参与了</w:t>
      </w:r>
      <w:r>
        <w:rPr>
          <w:rFonts w:hint="eastAsia" w:ascii="宋体" w:hAnsi="宋体" w:eastAsia="宋体" w:cs="宋体"/>
          <w:color w:val="auto"/>
          <w:sz w:val="21"/>
          <w:szCs w:val="21"/>
          <w:lang w:val="en-US" w:eastAsia="zh-CN"/>
        </w:rPr>
        <w:t>食管</w:t>
      </w:r>
      <w:r>
        <w:rPr>
          <w:rFonts w:hint="eastAsia" w:ascii="宋体" w:hAnsi="宋体" w:eastAsia="宋体" w:cs="宋体"/>
          <w:color w:val="auto"/>
          <w:sz w:val="21"/>
          <w:szCs w:val="21"/>
        </w:rPr>
        <w:t>癌前病变进展为食管癌的过程。注重口腔卫生对预防食管癌</w:t>
      </w:r>
      <w:r>
        <w:rPr>
          <w:rFonts w:hint="eastAsia" w:ascii="宋体" w:hAnsi="宋体" w:eastAsia="宋体" w:cs="宋体"/>
          <w:color w:val="auto"/>
          <w:sz w:val="21"/>
          <w:szCs w:val="21"/>
          <w:lang w:val="en-US" w:eastAsia="zh-CN"/>
        </w:rPr>
        <w:t>前病变</w:t>
      </w:r>
      <w:r>
        <w:rPr>
          <w:rFonts w:hint="eastAsia" w:ascii="宋体" w:hAnsi="宋体" w:eastAsia="宋体" w:cs="宋体"/>
          <w:color w:val="auto"/>
          <w:sz w:val="21"/>
          <w:szCs w:val="21"/>
        </w:rPr>
        <w:t>的发生至关重要，如有效</w:t>
      </w:r>
      <w:r>
        <w:rPr>
          <w:rFonts w:hint="eastAsia" w:ascii="宋体" w:hAnsi="宋体" w:eastAsia="宋体" w:cs="宋体"/>
          <w:color w:val="auto"/>
          <w:sz w:val="21"/>
          <w:szCs w:val="21"/>
          <w:lang w:val="en-US" w:eastAsia="zh-CN"/>
        </w:rPr>
        <w:t>保持牙齿清洁（刷牙、洗牙）</w:t>
      </w:r>
      <w:r>
        <w:rPr>
          <w:rFonts w:hint="eastAsia" w:ascii="宋体" w:hAnsi="宋体" w:eastAsia="宋体" w:cs="宋体"/>
          <w:color w:val="auto"/>
          <w:sz w:val="21"/>
          <w:szCs w:val="21"/>
        </w:rPr>
        <w:t>，饭后漱口，牙线清洁，定期进行口腔检查等。</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3）起居有常，戒烟限酒</w:t>
      </w:r>
      <w:r>
        <w:rPr>
          <w:rFonts w:hint="eastAsia" w:ascii="宋体" w:hAnsi="宋体" w:eastAsia="宋体" w:cs="宋体"/>
          <w:b w:val="0"/>
          <w:bCs w:val="0"/>
          <w:color w:val="auto"/>
          <w:sz w:val="21"/>
          <w:szCs w:val="21"/>
          <w:vertAlign w:val="superscript"/>
          <w:lang w:val="en-US" w:eastAsia="zh-CN"/>
        </w:rPr>
        <w:t>[40-43]</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rPr>
        <w:t>生</w:t>
      </w:r>
      <w:r>
        <w:rPr>
          <w:rFonts w:hint="eastAsia" w:ascii="宋体" w:hAnsi="宋体" w:eastAsia="宋体" w:cs="宋体"/>
          <w:color w:val="auto"/>
          <w:sz w:val="21"/>
          <w:szCs w:val="21"/>
          <w:lang w:val="en-US" w:eastAsia="zh-CN"/>
        </w:rPr>
        <w:t>活起居应顺时调神，日常作息顺应晨暮节律，生活活动顺应四季节气变化。</w:t>
      </w:r>
      <w:r>
        <w:rPr>
          <w:rFonts w:hint="eastAsia" w:ascii="宋体" w:hAnsi="宋体" w:eastAsia="宋体" w:cs="宋体"/>
          <w:color w:val="auto"/>
          <w:sz w:val="21"/>
          <w:szCs w:val="21"/>
        </w:rPr>
        <w:t>烟酒中的有害物质反复刺激</w:t>
      </w:r>
      <w:r>
        <w:rPr>
          <w:rFonts w:hint="eastAsia" w:ascii="宋体" w:hAnsi="宋体" w:eastAsia="宋体" w:cs="宋体"/>
          <w:color w:val="auto"/>
          <w:sz w:val="21"/>
          <w:szCs w:val="21"/>
          <w:lang w:eastAsia="zh-CN"/>
        </w:rPr>
        <w:t>食管黏膜</w:t>
      </w:r>
      <w:r>
        <w:rPr>
          <w:rFonts w:hint="eastAsia" w:ascii="宋体" w:hAnsi="宋体" w:eastAsia="宋体" w:cs="宋体"/>
          <w:color w:val="auto"/>
          <w:sz w:val="21"/>
          <w:szCs w:val="21"/>
        </w:rPr>
        <w:t>，致使机体无法及时修复而导致病理性增生，因此长期吸烟和过量饮酒与食管癌发生密切相关。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7.2.4 合理饮食</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 96.61%，</w:t>
      </w:r>
      <w:r>
        <w:rPr>
          <w:rFonts w:hint="eastAsia" w:ascii="黑体" w:hAnsi="黑体" w:eastAsia="黑体" w:cs="黑体"/>
          <w:color w:val="auto"/>
          <w:kern w:val="0"/>
          <w:sz w:val="21"/>
          <w:szCs w:val="21"/>
          <w:lang w:val="en-US" w:eastAsia="zh-CN" w:bidi="ar"/>
        </w:rPr>
        <w:t>同意但保留部分意见2.24%</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1）新鲜饮食，忌腌禁霉</w:t>
      </w:r>
      <w:r>
        <w:rPr>
          <w:rFonts w:hint="eastAsia" w:ascii="宋体" w:hAnsi="宋体" w:eastAsia="宋体" w:cs="宋体"/>
          <w:b w:val="0"/>
          <w:bCs w:val="0"/>
          <w:color w:val="auto"/>
          <w:sz w:val="21"/>
          <w:szCs w:val="21"/>
          <w:vertAlign w:val="superscript"/>
          <w:lang w:val="en-US" w:eastAsia="zh-CN"/>
        </w:rPr>
        <w:t>[40-43]</w:t>
      </w:r>
      <w:r>
        <w:rPr>
          <w:rFonts w:hint="eastAsia" w:ascii="黑体" w:hAnsi="黑体" w:eastAsia="黑体" w:cs="黑体"/>
          <w:b w:val="0"/>
          <w:bCs w:val="0"/>
          <w:color w:val="auto"/>
          <w:sz w:val="21"/>
          <w:szCs w:val="21"/>
          <w:lang w:val="en-US" w:eastAsia="zh-CN"/>
        </w:rPr>
        <w:t>。</w:t>
      </w:r>
      <w:r>
        <w:rPr>
          <w:rFonts w:hint="eastAsia" w:ascii="宋体" w:hAnsi="宋体" w:eastAsia="宋体" w:cs="宋体"/>
          <w:b w:val="0"/>
          <w:bCs w:val="0"/>
          <w:color w:val="auto"/>
          <w:sz w:val="21"/>
          <w:szCs w:val="21"/>
          <w:lang w:val="en-US" w:eastAsia="zh-CN"/>
        </w:rPr>
        <w:t>亚</w:t>
      </w:r>
      <w:r>
        <w:rPr>
          <w:rFonts w:hint="eastAsia" w:ascii="宋体" w:hAnsi="宋体" w:eastAsia="宋体" w:cs="宋体"/>
          <w:b w:val="0"/>
          <w:bCs w:val="0"/>
          <w:color w:val="auto"/>
          <w:sz w:val="21"/>
          <w:szCs w:val="21"/>
        </w:rPr>
        <w:t>硝</w:t>
      </w:r>
      <w:r>
        <w:rPr>
          <w:rFonts w:hint="eastAsia" w:ascii="宋体" w:hAnsi="宋体" w:eastAsia="宋体" w:cs="宋体"/>
          <w:color w:val="auto"/>
          <w:sz w:val="21"/>
          <w:szCs w:val="21"/>
        </w:rPr>
        <w:t>胺类化合物有高度致癌性，腌制食品如酸菜、虾酱、咸菜和氮肥污染的水源均已被证实富含亚硝胺及前体物质，因此控制其摄入是预防重点。霉变食物中含有较多</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霉菌毒素，属致癌促癌物质，玉米、花生、小麦等易霉变食物，日常应贮存在干燥通风处。加工后的食品更易霉变，尽量做到饭菜不隔夜，如有隔夜饭菜也应冷藏保存，并在食用前充分加热烹煮。</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2）合理膳食，均衡营养</w:t>
      </w:r>
      <w:r>
        <w:rPr>
          <w:rFonts w:hint="eastAsia" w:ascii="宋体" w:hAnsi="宋体" w:eastAsia="宋体" w:cs="宋体"/>
          <w:b w:val="0"/>
          <w:bCs w:val="0"/>
          <w:color w:val="auto"/>
          <w:sz w:val="21"/>
          <w:szCs w:val="21"/>
          <w:vertAlign w:val="superscript"/>
          <w:lang w:val="en-US" w:eastAsia="zh-CN"/>
        </w:rPr>
        <w:t>[40-43]</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rPr>
        <w:t>饮食品种应多样化，营养物质均衡，多食用新鲜的时令蔬菜、水果。在一项高发地区的营养预防试验中发现，补充核黄素（维生素</w:t>
      </w:r>
      <w:r>
        <w:rPr>
          <w:rFonts w:hint="default" w:ascii="Times New Roman" w:hAnsi="Times New Roman" w:eastAsia="宋体" w:cs="Times New Roman"/>
          <w:color w:val="auto"/>
          <w:sz w:val="21"/>
          <w:szCs w:val="21"/>
        </w:rPr>
        <w:t>B</w:t>
      </w:r>
      <w:r>
        <w:rPr>
          <w:rFonts w:hint="default" w:ascii="Times New Roman" w:hAnsi="Times New Roman" w:eastAsia="宋体" w:cs="Times New Roman"/>
          <w:color w:val="auto"/>
          <w:sz w:val="21"/>
          <w:szCs w:val="21"/>
          <w:vertAlign w:val="subscript"/>
        </w:rPr>
        <w:t>2</w:t>
      </w:r>
      <w:r>
        <w:rPr>
          <w:rFonts w:hint="eastAsia" w:ascii="宋体" w:hAnsi="宋体" w:eastAsia="宋体" w:cs="宋体"/>
          <w:color w:val="auto"/>
          <w:sz w:val="21"/>
          <w:szCs w:val="21"/>
        </w:rPr>
        <w:t>）和烟酸（维生素</w:t>
      </w:r>
      <w:r>
        <w:rPr>
          <w:rFonts w:hint="default" w:ascii="Times New Roman" w:hAnsi="Times New Roman" w:eastAsia="宋体" w:cs="Times New Roman"/>
          <w:color w:val="auto"/>
          <w:sz w:val="21"/>
          <w:szCs w:val="21"/>
        </w:rPr>
        <w:t>B</w:t>
      </w:r>
      <w:r>
        <w:rPr>
          <w:rFonts w:hint="eastAsia" w:ascii="宋体" w:hAnsi="宋体" w:eastAsia="宋体" w:cs="宋体"/>
          <w:color w:val="auto"/>
          <w:sz w:val="21"/>
          <w:szCs w:val="21"/>
          <w:vertAlign w:val="subscript"/>
        </w:rPr>
        <w:t>3</w:t>
      </w:r>
      <w:r>
        <w:rPr>
          <w:rFonts w:hint="eastAsia" w:ascii="宋体" w:hAnsi="宋体" w:eastAsia="宋体" w:cs="宋体"/>
          <w:color w:val="auto"/>
          <w:sz w:val="21"/>
          <w:szCs w:val="21"/>
        </w:rPr>
        <w:t>）可明显降低食管癌发病率。由于辛辣刺激、油炸、烟熏、烧烤类食物富含致癌物质，如烟熏食物含致癌的多环芳香烃，油炸过程可产生高致癌物质苯并芘等，因此应控制摄入量。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7.2.5 适当运动和心神调节</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 97.75%，</w:t>
      </w:r>
      <w:r>
        <w:rPr>
          <w:rFonts w:hint="eastAsia" w:ascii="黑体" w:hAnsi="黑体" w:eastAsia="黑体" w:cs="黑体"/>
          <w:color w:val="auto"/>
          <w:kern w:val="0"/>
          <w:sz w:val="21"/>
          <w:szCs w:val="21"/>
          <w:lang w:val="en-US" w:eastAsia="zh-CN" w:bidi="ar"/>
        </w:rPr>
        <w:t>同意但保留部分意见2.25%</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黑体" w:hAnsi="黑体" w:eastAsia="黑体" w:cs="黑体"/>
          <w:b w:val="0"/>
          <w:bCs w:val="0"/>
          <w:color w:val="auto"/>
          <w:sz w:val="21"/>
          <w:szCs w:val="21"/>
          <w:lang w:val="en-US" w:eastAsia="zh-CN"/>
        </w:rPr>
        <w:t>1）健康锻炼，持之以恒</w:t>
      </w:r>
      <w:r>
        <w:rPr>
          <w:rFonts w:hint="eastAsia" w:ascii="宋体" w:hAnsi="宋体" w:eastAsia="宋体" w:cs="宋体"/>
          <w:b w:val="0"/>
          <w:bCs w:val="0"/>
          <w:color w:val="auto"/>
          <w:sz w:val="21"/>
          <w:szCs w:val="21"/>
          <w:vertAlign w:val="superscript"/>
          <w:lang w:val="en-US" w:eastAsia="zh-CN"/>
        </w:rPr>
        <w:t>[45-46]</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rPr>
        <w:t>适度身体锻炼，能增强体质，</w:t>
      </w:r>
      <w:r>
        <w:rPr>
          <w:rFonts w:hint="eastAsia" w:ascii="宋体" w:hAnsi="宋体" w:eastAsia="宋体" w:cs="宋体"/>
          <w:color w:val="auto"/>
          <w:sz w:val="21"/>
          <w:szCs w:val="21"/>
          <w:lang w:val="en-US" w:eastAsia="zh-CN"/>
        </w:rPr>
        <w:t>促进</w:t>
      </w:r>
      <w:r>
        <w:rPr>
          <w:rFonts w:hint="eastAsia" w:ascii="宋体" w:hAnsi="宋体" w:eastAsia="宋体" w:cs="宋体"/>
          <w:color w:val="auto"/>
          <w:sz w:val="21"/>
          <w:szCs w:val="21"/>
        </w:rPr>
        <w:t>胃肠道分泌和蠕动，改善消化和吸收功能。于天地阳气渐升、体内阳气初长之时锻炼，更有助于</w:t>
      </w:r>
      <w:bookmarkStart w:id="33" w:name="_Hlk100347011"/>
      <w:r>
        <w:rPr>
          <w:rFonts w:hint="eastAsia" w:ascii="宋体" w:hAnsi="宋体" w:eastAsia="宋体" w:cs="宋体"/>
          <w:color w:val="auto"/>
          <w:sz w:val="21"/>
          <w:szCs w:val="21"/>
        </w:rPr>
        <w:t>激活脏腑功能，疏通气血</w:t>
      </w:r>
      <w:bookmarkEnd w:id="33"/>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运动方案应根据年龄、性别、生活方式和运动习惯，制定个体化的运动处方。运动种类宜选低强度、长时间的有氧运动，如慢跑、骑自行车、中快速步行（115～125步/分钟）等，或者选择</w:t>
      </w:r>
      <w:r>
        <w:rPr>
          <w:rFonts w:hint="eastAsia" w:ascii="宋体" w:hAnsi="宋体" w:eastAsia="宋体" w:cs="宋体"/>
          <w:color w:val="auto"/>
          <w:sz w:val="21"/>
          <w:szCs w:val="21"/>
        </w:rPr>
        <w:t>太极拳、八段锦、五禽戏</w:t>
      </w:r>
      <w:r>
        <w:rPr>
          <w:rFonts w:hint="eastAsia" w:ascii="宋体" w:hAnsi="宋体" w:eastAsia="宋体" w:cs="宋体"/>
          <w:color w:val="auto"/>
          <w:sz w:val="21"/>
          <w:szCs w:val="21"/>
          <w:lang w:val="en-US" w:eastAsia="zh-CN"/>
        </w:rPr>
        <w:t>、游泳、跳舞等。运动时以心率增加，微微出汗或运动后疲劳感于10～20分钟消失为宜。运动持续时间建议每次30～60分钟。</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2）志闲少欲，御神有节</w:t>
      </w:r>
      <w:r>
        <w:rPr>
          <w:rFonts w:hint="eastAsia" w:ascii="宋体" w:hAnsi="宋体" w:eastAsia="宋体" w:cs="宋体"/>
          <w:b w:val="0"/>
          <w:bCs w:val="0"/>
          <w:color w:val="auto"/>
          <w:sz w:val="21"/>
          <w:szCs w:val="21"/>
          <w:vertAlign w:val="superscript"/>
          <w:lang w:val="en-US" w:eastAsia="zh-CN"/>
        </w:rPr>
        <w:t>[47]</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rPr>
        <w:t>躁怒伤肝、焦虑伤脾、忧郁伤肺、恐惧伤肾、大喜伤心，</w:t>
      </w:r>
      <w:r>
        <w:rPr>
          <w:rFonts w:hint="eastAsia" w:ascii="宋体" w:hAnsi="宋体" w:eastAsia="宋体" w:cs="宋体"/>
          <w:color w:val="auto"/>
          <w:sz w:val="21"/>
          <w:szCs w:val="21"/>
          <w:lang w:val="en-US" w:eastAsia="zh-CN"/>
        </w:rPr>
        <w:t>情志不舒</w:t>
      </w:r>
      <w:r>
        <w:rPr>
          <w:rFonts w:hint="eastAsia" w:ascii="宋体" w:hAnsi="宋体" w:eastAsia="宋体" w:cs="宋体"/>
          <w:color w:val="auto"/>
          <w:sz w:val="21"/>
          <w:szCs w:val="21"/>
        </w:rPr>
        <w:t>会影响脏腑气机的运行，以致气</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血</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瘀互阻甚或阴阳失衡。应保持情绪舒畅愉快，不为外物所累，不放纵自己的欲望，戒骄戒躁。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b w:val="0"/>
          <w:bCs w:val="0"/>
          <w:color w:val="auto"/>
          <w:sz w:val="21"/>
          <w:szCs w:val="21"/>
          <w:lang w:val="en-US" w:eastAsia="zh-CN"/>
        </w:rPr>
      </w:pPr>
      <w:r>
        <w:rPr>
          <w:rFonts w:hint="eastAsia" w:ascii="黑体" w:hAnsi="黑体" w:eastAsia="黑体" w:cs="黑体"/>
          <w:color w:val="auto"/>
          <w:sz w:val="21"/>
          <w:szCs w:val="21"/>
          <w:lang w:val="en-US" w:eastAsia="zh-CN"/>
        </w:rPr>
        <w:t>7.2.6 增强高危人群健康意识</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度：强推荐；共识同意率：完全同意95.48%，</w:t>
      </w:r>
      <w:r>
        <w:rPr>
          <w:rFonts w:hint="eastAsia" w:ascii="黑体" w:hAnsi="黑体" w:eastAsia="黑体" w:cs="黑体"/>
          <w:color w:val="auto"/>
          <w:kern w:val="0"/>
          <w:sz w:val="21"/>
          <w:szCs w:val="21"/>
          <w:lang w:val="en-US" w:eastAsia="zh-CN" w:bidi="ar"/>
        </w:rPr>
        <w:t>同意但保留部分意见3.38%</w:t>
      </w:r>
      <w:r>
        <w:rPr>
          <w:rFonts w:hint="eastAsia" w:ascii="黑体" w:hAnsi="黑体" w:eastAsia="黑体" w:cs="黑体"/>
          <w:b w:val="0"/>
          <w:bCs w:val="0"/>
          <w:color w:val="auto"/>
          <w:kern w:val="2"/>
          <w:sz w:val="21"/>
          <w:szCs w:val="21"/>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1"/>
          <w:szCs w:val="21"/>
          <w:lang w:val="en-US" w:eastAsia="zh-CN"/>
        </w:rPr>
        <w:t>1）定期体检，防微杜渐。</w:t>
      </w:r>
      <w:r>
        <w:rPr>
          <w:rFonts w:hint="eastAsia" w:ascii="宋体" w:hAnsi="宋体" w:eastAsia="宋体" w:cs="宋体"/>
          <w:color w:val="auto"/>
          <w:sz w:val="21"/>
          <w:szCs w:val="21"/>
        </w:rPr>
        <w:t>对年龄≥40岁</w:t>
      </w:r>
      <w:r>
        <w:rPr>
          <w:rFonts w:hint="eastAsia" w:hAnsi="宋体" w:eastAsia="宋体" w:cs="宋体"/>
          <w:color w:val="auto"/>
          <w:sz w:val="21"/>
          <w:szCs w:val="21"/>
          <w:lang w:val="en-US" w:eastAsia="zh-CN"/>
        </w:rPr>
        <w:t>的食管癌前病变筛查的目标人群，应定期行内镜检查</w:t>
      </w:r>
      <w:r>
        <w:rPr>
          <w:rFonts w:hint="eastAsia" w:ascii="宋体" w:hAnsi="宋体" w:eastAsia="宋体" w:cs="宋体"/>
          <w:color w:val="auto"/>
          <w:sz w:val="21"/>
          <w:szCs w:val="21"/>
        </w:rPr>
        <w:t>。</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hAnsi="宋体" w:eastAsia="宋体" w:cs="宋体"/>
          <w:color w:val="auto"/>
          <w:sz w:val="21"/>
          <w:szCs w:val="21"/>
          <w:lang w:val="en-US" w:eastAsia="zh-CN"/>
        </w:rPr>
      </w:pPr>
      <w:r>
        <w:rPr>
          <w:rFonts w:hint="eastAsia" w:ascii="黑体" w:hAnsi="黑体" w:eastAsia="黑体" w:cs="黑体"/>
          <w:b w:val="0"/>
          <w:bCs w:val="0"/>
          <w:color w:val="auto"/>
          <w:sz w:val="21"/>
          <w:szCs w:val="21"/>
          <w:lang w:val="en-US" w:eastAsia="zh-CN"/>
        </w:rPr>
        <w:t>2）及早干预，防治结合。</w:t>
      </w:r>
      <w:r>
        <w:rPr>
          <w:rFonts w:hint="eastAsia" w:hAnsi="宋体" w:eastAsia="宋体" w:cs="宋体"/>
          <w:color w:val="auto"/>
          <w:sz w:val="21"/>
          <w:szCs w:val="21"/>
          <w:lang w:val="en-US" w:eastAsia="zh-CN"/>
        </w:rPr>
        <w:t>有</w:t>
      </w:r>
      <w:r>
        <w:rPr>
          <w:rFonts w:hint="eastAsia" w:ascii="宋体" w:hAnsi="宋体" w:eastAsia="宋体" w:cs="宋体"/>
          <w:color w:val="auto"/>
          <w:sz w:val="21"/>
          <w:szCs w:val="21"/>
          <w:lang w:val="en-US" w:eastAsia="zh-CN"/>
        </w:rPr>
        <w:t>消化系统症状的人群</w:t>
      </w:r>
      <w:r>
        <w:rPr>
          <w:rFonts w:hint="eastAsia" w:hAnsi="宋体" w:eastAsia="宋体" w:cs="宋体"/>
          <w:color w:val="auto"/>
          <w:sz w:val="21"/>
          <w:szCs w:val="21"/>
          <w:lang w:val="en-US" w:eastAsia="zh-CN"/>
        </w:rPr>
        <w:t>，经治疗后症状缓解不明显应及时去正规医院进行诊疗，应用中医药干预，减除症状，提高生活质量。</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7.3 已病防变</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color w:val="auto"/>
          <w:lang w:val="en-US" w:eastAsia="zh-CN"/>
        </w:rPr>
      </w:pPr>
      <w:r>
        <w:rPr>
          <w:rFonts w:hint="eastAsia" w:ascii="黑体" w:hAnsi="黑体" w:eastAsia="黑体" w:cs="黑体"/>
          <w:color w:val="auto"/>
          <w:lang w:val="en-US" w:eastAsia="zh-CN"/>
        </w:rPr>
        <w:t>7.3.1 概述</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黑体" w:hAnsi="黑体" w:eastAsia="黑体" w:cs="黑体"/>
          <w:color w:val="auto"/>
          <w:lang w:val="en-US" w:eastAsia="zh-CN"/>
        </w:rPr>
      </w:pPr>
      <w:r>
        <w:rPr>
          <w:rFonts w:hint="eastAsia" w:ascii="宋体" w:hAnsi="宋体" w:eastAsia="宋体" w:cs="宋体"/>
          <w:color w:val="auto"/>
          <w:lang w:val="en-US" w:eastAsia="zh-CN"/>
        </w:rPr>
        <w:t>对已发现食管癌前病变的患者，我们应该积极诊治，应用中医药辨证施治</w:t>
      </w:r>
      <w:r>
        <w:rPr>
          <w:rFonts w:hint="eastAsia" w:hAnsi="宋体" w:eastAsia="宋体" w:cs="宋体"/>
          <w:color w:val="auto"/>
          <w:lang w:val="en-US" w:eastAsia="zh-CN"/>
        </w:rPr>
        <w:t>及</w:t>
      </w:r>
      <w:r>
        <w:rPr>
          <w:rFonts w:hint="eastAsia" w:ascii="宋体" w:hAnsi="宋体" w:eastAsia="宋体" w:cs="宋体"/>
          <w:color w:val="auto"/>
          <w:lang w:val="en-US" w:eastAsia="zh-CN"/>
        </w:rPr>
        <w:t>非药物疗法进行有效干预，缓解患者的症状，逆转</w:t>
      </w:r>
      <w:r>
        <w:rPr>
          <w:rFonts w:hint="eastAsia" w:hAnsi="宋体" w:eastAsia="宋体" w:cs="宋体"/>
          <w:color w:val="auto"/>
          <w:lang w:val="en-US" w:eastAsia="zh-CN"/>
        </w:rPr>
        <w:t>或延缓</w:t>
      </w:r>
      <w:r>
        <w:rPr>
          <w:rFonts w:hint="eastAsia" w:ascii="宋体" w:hAnsi="宋体" w:eastAsia="宋体" w:cs="宋体"/>
          <w:color w:val="auto"/>
          <w:lang w:val="en-US" w:eastAsia="zh-CN"/>
        </w:rPr>
        <w:t>癌前病变的发生。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7.3.2 中医药治疗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7.3.2.1 中医辨证施治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1）肝胃不和，痰气交阻证（</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度：强推荐；共识同意率：完全同意88.76%，</w:t>
      </w:r>
      <w:r>
        <w:rPr>
          <w:rFonts w:hint="eastAsia" w:ascii="黑体" w:hAnsi="黑体" w:eastAsia="黑体" w:cs="黑体"/>
          <w:color w:val="auto"/>
          <w:kern w:val="0"/>
          <w:sz w:val="21"/>
          <w:szCs w:val="21"/>
          <w:lang w:val="en-US" w:eastAsia="zh-CN" w:bidi="ar"/>
        </w:rPr>
        <w:t>同意但保留部分意见10.1%</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【主要症状】咽喉不适，自觉有异物，但不影响进食，情志不舒时上述症状加重，或胸脘痞满，舌质淡红，苔薄白，脉弦。多见于气郁、痰湿、湿热体质。</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【治法】疏肝和胃，理气化痰。</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【推荐方药】柴胡疏肝散</w:t>
      </w:r>
      <w:r>
        <w:rPr>
          <w:rFonts w:hint="eastAsia" w:ascii="黑体" w:hAnsi="黑体" w:eastAsia="黑体" w:cs="黑体"/>
          <w:b w:val="0"/>
          <w:bCs w:val="0"/>
          <w:color w:val="auto"/>
          <w:kern w:val="2"/>
          <w:sz w:val="21"/>
          <w:szCs w:val="21"/>
          <w:lang w:val="en-US" w:eastAsia="zh-CN" w:bidi="ar-SA"/>
        </w:rPr>
        <w:t>（证据级别：</w:t>
      </w:r>
      <w:r>
        <w:rPr>
          <w:rFonts w:hint="default" w:ascii="Times New Roman" w:hAnsi="Times New Roman" w:eastAsia="黑体" w:cs="Times New Roman"/>
          <w:color w:val="auto"/>
          <w:kern w:val="2"/>
          <w:sz w:val="21"/>
          <w:szCs w:val="21"/>
          <w:lang w:val="en-US" w:eastAsia="zh-CN" w:bidi="ar-SA"/>
        </w:rPr>
        <w:t>Ⅴ</w:t>
      </w:r>
      <w:r>
        <w:rPr>
          <w:rFonts w:hint="eastAsia" w:ascii="黑体" w:hAnsi="黑体" w:eastAsia="黑体" w:cs="黑体"/>
          <w:color w:val="auto"/>
          <w:kern w:val="2"/>
          <w:sz w:val="21"/>
          <w:szCs w:val="21"/>
          <w:lang w:val="en-US" w:eastAsia="zh-CN" w:bidi="ar-SA"/>
        </w:rPr>
        <w:t>级；推荐强</w:t>
      </w:r>
      <w:r>
        <w:rPr>
          <w:rFonts w:hint="eastAsia" w:ascii="黑体" w:hAnsi="黑体" w:eastAsia="黑体" w:cs="黑体"/>
          <w:b w:val="0"/>
          <w:bCs w:val="0"/>
          <w:color w:val="auto"/>
          <w:kern w:val="2"/>
          <w:sz w:val="21"/>
          <w:szCs w:val="21"/>
          <w:lang w:val="en-US" w:eastAsia="zh-CN" w:bidi="ar-SA"/>
        </w:rPr>
        <w:t>度：强推荐）</w:t>
      </w:r>
      <w:r>
        <w:rPr>
          <w:rFonts w:hint="eastAsia" w:ascii="宋体" w:hAnsi="宋体" w:eastAsia="宋体" w:cs="宋体"/>
          <w:color w:val="auto"/>
          <w:sz w:val="21"/>
          <w:szCs w:val="21"/>
          <w:lang w:val="en-US" w:eastAsia="zh-CN"/>
        </w:rPr>
        <w:t>合二陈四七汤</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度：弱推荐）</w:t>
      </w:r>
      <w:r>
        <w:rPr>
          <w:rFonts w:hint="eastAsia" w:ascii="宋体" w:hAnsi="宋体" w:eastAsia="宋体" w:cs="宋体"/>
          <w:color w:val="auto"/>
          <w:sz w:val="21"/>
          <w:szCs w:val="21"/>
          <w:lang w:val="en-US" w:eastAsia="zh-CN"/>
        </w:rPr>
        <w:t>加减。柴胡疏肝散</w:t>
      </w:r>
      <w:r>
        <w:rPr>
          <w:rFonts w:hint="eastAsia" w:ascii="宋体" w:hAnsi="宋体" w:eastAsia="宋体" w:cs="宋体"/>
          <w:color w:val="auto"/>
          <w:sz w:val="21"/>
          <w:szCs w:val="21"/>
          <w:vertAlign w:val="superscript"/>
          <w:lang w:val="en-US" w:eastAsia="zh-CN"/>
        </w:rPr>
        <w:t>[48]</w:t>
      </w:r>
      <w:r>
        <w:rPr>
          <w:rFonts w:hint="eastAsia" w:ascii="宋体" w:hAnsi="宋体" w:eastAsia="宋体" w:cs="宋体"/>
          <w:color w:val="auto"/>
          <w:sz w:val="21"/>
          <w:szCs w:val="21"/>
          <w:lang w:val="en-US" w:eastAsia="zh-CN"/>
        </w:rPr>
        <w:t>出自《医学统旨》，二陈四七汤出自《症因脉治》。</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方中有柴胡10g，香附6g，白芍6g，枳壳6，陈皮10g，川芎6g，炙甘草6g，清半夏6g，茯苓10g，紫苏叶6g，厚朴6g。</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若嗳气上逆可加旋覆花、丁香、柿蒂等理气降逆之品；若痰多，质稠，色黄难咯可加桔梗、瓜蒌仁、浙贝母等清热化痰之品；若痰稀色白难咯者则可加皂荚、青礞石、海浮石；反酸甚者加瓦楞子、乌贼骨。</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胃热壅盛，浊气上逆证（</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度：强推荐；共识同意率：完全同意83.13%，</w:t>
      </w:r>
      <w:r>
        <w:rPr>
          <w:rFonts w:hint="eastAsia" w:ascii="黑体" w:hAnsi="黑体" w:eastAsia="黑体" w:cs="黑体"/>
          <w:color w:val="auto"/>
          <w:kern w:val="0"/>
          <w:sz w:val="21"/>
          <w:szCs w:val="21"/>
          <w:lang w:val="en-US" w:eastAsia="zh-CN" w:bidi="ar"/>
        </w:rPr>
        <w:t>同意但保留部分意见16.87%</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【主要症状】胸骨后灼热不适，进热食时加重，但不影响进食，胃脘痞塞，时有恶心欲呕，或嗳气频频，反酸不适，口干口苦，舌质偏红，苔薄黄，脉弦滑或弦数。多见于湿热体质，多有长期大量饮酒史。</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【治法】清热和胃，理气降逆。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【推荐方药】半夏泻心汤</w:t>
      </w:r>
      <w:r>
        <w:rPr>
          <w:rFonts w:hint="eastAsia" w:ascii="黑体" w:hAnsi="黑体" w:eastAsia="黑体" w:cs="黑体"/>
          <w:b w:val="0"/>
          <w:bCs w:val="0"/>
          <w:color w:val="auto"/>
          <w:kern w:val="2"/>
          <w:sz w:val="21"/>
          <w:szCs w:val="21"/>
          <w:lang w:val="en-US" w:eastAsia="zh-CN" w:bidi="ar-SA"/>
        </w:rPr>
        <w:t>（证据级别：</w:t>
      </w:r>
      <w:r>
        <w:rPr>
          <w:rFonts w:hint="default" w:ascii="Times New Roman" w:hAnsi="Times New Roman" w:eastAsia="黑体" w:cs="Times New Roman"/>
          <w:color w:val="auto"/>
          <w:kern w:val="2"/>
          <w:sz w:val="21"/>
          <w:szCs w:val="21"/>
          <w:lang w:val="en-US" w:eastAsia="zh-CN" w:bidi="ar-SA"/>
        </w:rPr>
        <w:t>Ⅴ</w:t>
      </w:r>
      <w:r>
        <w:rPr>
          <w:rFonts w:hint="eastAsia" w:ascii="黑体" w:hAnsi="黑体" w:eastAsia="黑体" w:cs="黑体"/>
          <w:color w:val="auto"/>
          <w:kern w:val="2"/>
          <w:sz w:val="21"/>
          <w:szCs w:val="21"/>
          <w:lang w:val="en-US" w:eastAsia="zh-CN" w:bidi="ar-SA"/>
        </w:rPr>
        <w:t>级；推荐强</w:t>
      </w:r>
      <w:r>
        <w:rPr>
          <w:rFonts w:hint="eastAsia" w:ascii="黑体" w:hAnsi="黑体" w:eastAsia="黑体" w:cs="黑体"/>
          <w:b w:val="0"/>
          <w:bCs w:val="0"/>
          <w:color w:val="auto"/>
          <w:kern w:val="2"/>
          <w:sz w:val="21"/>
          <w:szCs w:val="21"/>
          <w:lang w:val="en-US" w:eastAsia="zh-CN" w:bidi="ar-SA"/>
        </w:rPr>
        <w:t>度：强推荐）</w:t>
      </w:r>
      <w:r>
        <w:rPr>
          <w:rFonts w:hint="eastAsia" w:ascii="宋体" w:hAnsi="宋体" w:eastAsia="宋体" w:cs="宋体"/>
          <w:color w:val="auto"/>
          <w:sz w:val="21"/>
          <w:szCs w:val="21"/>
          <w:lang w:val="en-US" w:eastAsia="zh-CN"/>
        </w:rPr>
        <w:t>合旋覆代赭汤</w:t>
      </w:r>
      <w:r>
        <w:rPr>
          <w:rFonts w:hint="eastAsia" w:ascii="黑体" w:hAnsi="黑体" w:eastAsia="黑体" w:cs="黑体"/>
          <w:b w:val="0"/>
          <w:bCs w:val="0"/>
          <w:color w:val="auto"/>
          <w:sz w:val="21"/>
          <w:szCs w:val="21"/>
          <w:lang w:val="en-US" w:eastAsia="zh-CN"/>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度：弱推荐</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lang w:val="en-US" w:eastAsia="zh-CN"/>
        </w:rPr>
        <w:t>加减。半夏泻心汤</w:t>
      </w:r>
      <w:r>
        <w:rPr>
          <w:rFonts w:hint="eastAsia" w:ascii="宋体" w:hAnsi="宋体" w:eastAsia="宋体" w:cs="宋体"/>
          <w:color w:val="auto"/>
          <w:sz w:val="21"/>
          <w:szCs w:val="21"/>
          <w:vertAlign w:val="superscript"/>
          <w:lang w:val="en-US" w:eastAsia="zh-CN"/>
        </w:rPr>
        <w:t>[49]</w:t>
      </w:r>
      <w:r>
        <w:rPr>
          <w:rFonts w:hint="eastAsia" w:ascii="宋体" w:hAnsi="宋体" w:eastAsia="宋体" w:cs="宋体"/>
          <w:color w:val="auto"/>
          <w:sz w:val="21"/>
          <w:szCs w:val="21"/>
          <w:lang w:val="en-US" w:eastAsia="zh-CN"/>
        </w:rPr>
        <w:t>出自《伤寒论》，旋覆代赭汤</w:t>
      </w:r>
      <w:r>
        <w:rPr>
          <w:rFonts w:hint="eastAsia" w:ascii="宋体" w:hAnsi="宋体" w:eastAsia="宋体" w:cs="宋体"/>
          <w:color w:val="auto"/>
          <w:sz w:val="21"/>
          <w:szCs w:val="21"/>
          <w:vertAlign w:val="superscript"/>
          <w:lang w:val="en-US" w:eastAsia="zh-CN"/>
        </w:rPr>
        <w:t>[50]</w:t>
      </w:r>
      <w:r>
        <w:rPr>
          <w:rFonts w:hint="eastAsia" w:ascii="宋体" w:hAnsi="宋体" w:eastAsia="宋体" w:cs="宋体"/>
          <w:color w:val="auto"/>
          <w:sz w:val="21"/>
          <w:szCs w:val="21"/>
          <w:lang w:val="en-US" w:eastAsia="zh-CN"/>
        </w:rPr>
        <w:t>出自《伤寒论》。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方中有黄连3g，黄芩3g，清半夏12g，干姜3g，党参20g，旋覆花30g（包煎），代赭石10g（先煎），生姜3g，大枣6枚，炙甘草3g。其中旋覆花、党参、代赭石的剂量比例为3:2:1。</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宋体" w:hAnsi="宋体" w:eastAsia="宋体" w:cs="宋体"/>
          <w:color w:val="auto"/>
          <w:sz w:val="21"/>
          <w:szCs w:val="21"/>
          <w:lang w:val="en-US" w:eastAsia="zh-CN"/>
        </w:rPr>
        <w:t>若口干口渴可去党参、生姜，加冬凌草、白花蛇舌草等以加大清热解毒之力；若大便干结可加大黄；若胸脘痞塞重者可加枳壳、佛手、瓜蒌；若反酸甚者可加瓦楞子、乌贼骨。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黑体" w:hAnsi="黑体" w:eastAsia="黑体" w:cs="黑体"/>
          <w:b w:val="0"/>
          <w:bCs w:val="0"/>
          <w:color w:val="auto"/>
          <w:kern w:val="2"/>
          <w:sz w:val="21"/>
          <w:szCs w:val="21"/>
          <w:lang w:val="en-US" w:eastAsia="zh-CN" w:bidi="ar-SA"/>
        </w:rPr>
        <w:t>3）脾胃虚弱，痰瘀互结证（</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度：强推荐；共识同意率：完全同意85.38%，</w:t>
      </w:r>
      <w:r>
        <w:rPr>
          <w:rFonts w:hint="eastAsia" w:ascii="黑体" w:hAnsi="黑体" w:eastAsia="黑体" w:cs="黑体"/>
          <w:color w:val="auto"/>
          <w:kern w:val="0"/>
          <w:sz w:val="21"/>
          <w:szCs w:val="21"/>
          <w:lang w:val="en-US" w:eastAsia="zh-CN" w:bidi="ar"/>
        </w:rPr>
        <w:t>同意但保留部分意见13.48%</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【主要症状】食欲不振，少气懒言、神疲乏力，胸部不舒，时吐痰涎，时有嗳气或呃逆，但不影响进食，面色萎黄，身体消瘦，舌质淡黯，苔腻或薄白，脉细无力或涩。多见于气虚体质。</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【治法】健脾和胃，化痰活瘀。</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【推荐方药】香砂六君子汤</w:t>
      </w:r>
      <w:r>
        <w:rPr>
          <w:rFonts w:hint="eastAsia" w:ascii="黑体" w:hAnsi="黑体" w:eastAsia="黑体" w:cs="黑体"/>
          <w:b w:val="0"/>
          <w:bCs w:val="0"/>
          <w:color w:val="auto"/>
          <w:sz w:val="21"/>
          <w:szCs w:val="21"/>
          <w:lang w:val="en-US" w:eastAsia="zh-CN"/>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度：弱推荐</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lang w:val="en-US" w:eastAsia="zh-CN"/>
        </w:rPr>
        <w:t>合启膈散</w:t>
      </w:r>
      <w:r>
        <w:rPr>
          <w:rFonts w:hint="eastAsia" w:ascii="黑体" w:hAnsi="黑体" w:eastAsia="黑体" w:cs="黑体"/>
          <w:b w:val="0"/>
          <w:bCs w:val="0"/>
          <w:color w:val="auto"/>
          <w:kern w:val="2"/>
          <w:sz w:val="21"/>
          <w:szCs w:val="21"/>
          <w:lang w:val="en-US" w:eastAsia="zh-CN" w:bidi="ar-SA"/>
        </w:rPr>
        <w:t>（证据级别：</w:t>
      </w:r>
      <w:r>
        <w:rPr>
          <w:rFonts w:hint="eastAsia" w:ascii="黑体" w:hAnsi="黑体" w:eastAsia="黑体" w:cs="黑体"/>
          <w:color w:val="auto"/>
          <w:kern w:val="2"/>
          <w:sz w:val="21"/>
          <w:szCs w:val="21"/>
          <w:lang w:val="en-US" w:eastAsia="zh-CN" w:bidi="ar-SA"/>
        </w:rPr>
        <w:t>Ⅴ级；推荐强</w:t>
      </w:r>
      <w:r>
        <w:rPr>
          <w:rFonts w:hint="eastAsia" w:ascii="黑体" w:hAnsi="黑体" w:eastAsia="黑体" w:cs="黑体"/>
          <w:b w:val="0"/>
          <w:bCs w:val="0"/>
          <w:color w:val="auto"/>
          <w:kern w:val="2"/>
          <w:sz w:val="21"/>
          <w:szCs w:val="21"/>
          <w:lang w:val="en-US" w:eastAsia="zh-CN" w:bidi="ar-SA"/>
        </w:rPr>
        <w:t>度：强推荐）</w:t>
      </w:r>
      <w:r>
        <w:rPr>
          <w:rFonts w:hint="eastAsia" w:ascii="宋体" w:hAnsi="宋体" w:eastAsia="宋体" w:cs="宋体"/>
          <w:color w:val="auto"/>
          <w:sz w:val="21"/>
          <w:szCs w:val="21"/>
          <w:lang w:val="en-US" w:eastAsia="zh-CN"/>
        </w:rPr>
        <w:t>加减。香砂六君子汤</w:t>
      </w:r>
      <w:r>
        <w:rPr>
          <w:rFonts w:hint="eastAsia" w:ascii="宋体" w:hAnsi="宋体" w:eastAsia="宋体" w:cs="宋体"/>
          <w:color w:val="auto"/>
          <w:sz w:val="21"/>
          <w:szCs w:val="21"/>
          <w:vertAlign w:val="superscript"/>
          <w:lang w:val="en-US" w:eastAsia="zh-CN"/>
        </w:rPr>
        <w:t>[51]</w:t>
      </w:r>
      <w:r>
        <w:rPr>
          <w:rFonts w:hint="eastAsia" w:ascii="宋体" w:hAnsi="宋体" w:eastAsia="宋体" w:cs="宋体"/>
          <w:color w:val="auto"/>
          <w:sz w:val="21"/>
          <w:szCs w:val="21"/>
          <w:lang w:val="en-US" w:eastAsia="zh-CN"/>
        </w:rPr>
        <w:t>出自《医方集解》，启膈散</w:t>
      </w:r>
      <w:r>
        <w:rPr>
          <w:rFonts w:hint="eastAsia" w:ascii="宋体" w:hAnsi="宋体" w:eastAsia="宋体" w:cs="宋体"/>
          <w:color w:val="auto"/>
          <w:sz w:val="21"/>
          <w:szCs w:val="21"/>
          <w:vertAlign w:val="superscript"/>
          <w:lang w:val="en-US" w:eastAsia="zh-CN"/>
        </w:rPr>
        <w:t>[52]</w:t>
      </w:r>
      <w:r>
        <w:rPr>
          <w:rFonts w:hint="eastAsia" w:ascii="宋体" w:hAnsi="宋体" w:eastAsia="宋体" w:cs="宋体"/>
          <w:color w:val="auto"/>
          <w:sz w:val="21"/>
          <w:szCs w:val="21"/>
          <w:lang w:val="en-US" w:eastAsia="zh-CN"/>
        </w:rPr>
        <w:t xml:space="preserve">出自《医学心悟》。                                </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方中有党参15g，白术10g，茯苓10g，陈皮6g，清半夏6g，木香6g，砂仁6g（后下），南沙参10g，川贝母6g，荷叶蒂2个，郁金6g，丹参10g，杵头糠1.5g，甘草6g。</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若痰多清稀，可加干姜、细辛等温化寒痰之品；若嗳气频频，可加丁香、旋覆花等理气降逆之品；若</w:t>
      </w:r>
      <w:r>
        <w:rPr>
          <w:rFonts w:hint="eastAsia" w:hAnsi="宋体" w:eastAsia="宋体" w:cs="宋体"/>
          <w:color w:val="auto"/>
          <w:sz w:val="21"/>
          <w:szCs w:val="21"/>
          <w:lang w:val="en-US" w:eastAsia="zh-CN"/>
        </w:rPr>
        <w:t>反</w:t>
      </w:r>
      <w:r>
        <w:rPr>
          <w:rFonts w:hint="eastAsia" w:ascii="宋体" w:hAnsi="宋体" w:eastAsia="宋体" w:cs="宋体"/>
          <w:color w:val="auto"/>
          <w:sz w:val="21"/>
          <w:szCs w:val="21"/>
          <w:lang w:val="en-US" w:eastAsia="zh-CN"/>
        </w:rPr>
        <w:t>酸甚者可加瓦楞子、乌贼骨；若出现</w:t>
      </w:r>
      <w:r>
        <w:rPr>
          <w:rFonts w:hint="eastAsia" w:ascii="宋体" w:hAnsi="宋体" w:eastAsia="宋体" w:cs="宋体"/>
          <w:color w:val="auto"/>
          <w:kern w:val="2"/>
          <w:sz w:val="21"/>
          <w:szCs w:val="21"/>
          <w:lang w:val="en-US" w:eastAsia="zh-CN" w:bidi="ar-SA"/>
        </w:rPr>
        <w:t>脘腹冷痛，手足不温等阳虚表现者可加附子、干姜、肉桂。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4）胃阴亏虚，食管失濡证（</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度：强推荐；共识同意率：完全同意85.43%，</w:t>
      </w:r>
      <w:r>
        <w:rPr>
          <w:rFonts w:hint="eastAsia" w:ascii="黑体" w:hAnsi="黑体" w:eastAsia="黑体" w:cs="黑体"/>
          <w:color w:val="auto"/>
          <w:kern w:val="0"/>
          <w:sz w:val="21"/>
          <w:szCs w:val="21"/>
          <w:lang w:val="en-US" w:eastAsia="zh-CN" w:bidi="ar"/>
        </w:rPr>
        <w:t>同意但保留部分意见14.57%</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【主要症状】胃脘部隐隐作痛，且有灼热感，饥不欲食，或胸骨后不适，口干咽燥，胃脘痞闷不舒，或干呕呃逆，或时有呕吐，大便干结，舌红少苔，脉细数。多见于阴虚体质。</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【治法】养阴益胃。</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【推荐方药】五汁安中饮</w:t>
      </w:r>
      <w:r>
        <w:rPr>
          <w:rFonts w:hint="eastAsia" w:ascii="黑体" w:hAnsi="黑体" w:eastAsia="黑体" w:cs="黑体"/>
          <w:b w:val="0"/>
          <w:bCs w:val="0"/>
          <w:color w:val="auto"/>
          <w:kern w:val="2"/>
          <w:sz w:val="21"/>
          <w:szCs w:val="21"/>
          <w:lang w:val="en-US" w:eastAsia="zh-CN" w:bidi="ar-SA"/>
        </w:rPr>
        <w:t>（证据级别：</w:t>
      </w:r>
      <w:r>
        <w:rPr>
          <w:rFonts w:hint="default" w:ascii="Times New Roman" w:hAnsi="Times New Roman" w:eastAsia="黑体" w:cs="Times New Roman"/>
          <w:color w:val="auto"/>
          <w:kern w:val="2"/>
          <w:sz w:val="21"/>
          <w:szCs w:val="21"/>
          <w:lang w:val="en-US" w:eastAsia="zh-CN" w:bidi="ar-SA"/>
        </w:rPr>
        <w:t>Ⅴ</w:t>
      </w:r>
      <w:r>
        <w:rPr>
          <w:rFonts w:hint="eastAsia" w:ascii="黑体" w:hAnsi="黑体" w:eastAsia="黑体" w:cs="黑体"/>
          <w:color w:val="auto"/>
          <w:kern w:val="2"/>
          <w:sz w:val="21"/>
          <w:szCs w:val="21"/>
          <w:lang w:val="en-US" w:eastAsia="zh-CN" w:bidi="ar-SA"/>
        </w:rPr>
        <w:t>级；推荐强</w:t>
      </w:r>
      <w:r>
        <w:rPr>
          <w:rFonts w:hint="eastAsia" w:ascii="黑体" w:hAnsi="黑体" w:eastAsia="黑体" w:cs="黑体"/>
          <w:b w:val="0"/>
          <w:bCs w:val="0"/>
          <w:color w:val="auto"/>
          <w:kern w:val="2"/>
          <w:sz w:val="21"/>
          <w:szCs w:val="21"/>
          <w:lang w:val="en-US" w:eastAsia="zh-CN" w:bidi="ar-SA"/>
        </w:rPr>
        <w:t>度：强推荐）</w:t>
      </w:r>
      <w:r>
        <w:rPr>
          <w:rFonts w:hint="eastAsia" w:ascii="宋体" w:hAnsi="宋体" w:eastAsia="宋体" w:cs="宋体"/>
          <w:b w:val="0"/>
          <w:bCs w:val="0"/>
          <w:color w:val="auto"/>
          <w:sz w:val="21"/>
          <w:szCs w:val="21"/>
          <w:lang w:val="en-US" w:eastAsia="zh-CN"/>
        </w:rPr>
        <w:t>或</w:t>
      </w:r>
      <w:r>
        <w:rPr>
          <w:rFonts w:hint="eastAsia" w:ascii="宋体" w:hAnsi="宋体" w:eastAsia="宋体" w:cs="宋体"/>
          <w:color w:val="auto"/>
          <w:sz w:val="21"/>
          <w:szCs w:val="21"/>
          <w:lang w:val="en-US" w:eastAsia="zh-CN"/>
        </w:rPr>
        <w:t>益胃汤</w:t>
      </w:r>
      <w:r>
        <w:rPr>
          <w:rFonts w:hint="eastAsia" w:ascii="黑体" w:hAnsi="黑体" w:eastAsia="黑体" w:cs="黑体"/>
          <w:b w:val="0"/>
          <w:bCs w:val="0"/>
          <w:color w:val="auto"/>
          <w:sz w:val="21"/>
          <w:szCs w:val="21"/>
          <w:lang w:val="en-US" w:eastAsia="zh-CN"/>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度：弱推荐</w:t>
      </w:r>
      <w:r>
        <w:rPr>
          <w:rFonts w:hint="eastAsia" w:ascii="黑体" w:hAnsi="黑体" w:eastAsia="黑体" w:cs="黑体"/>
          <w:b w:val="0"/>
          <w:bCs w:val="0"/>
          <w:color w:val="auto"/>
          <w:sz w:val="21"/>
          <w:szCs w:val="21"/>
          <w:lang w:val="en-US" w:eastAsia="zh-CN"/>
        </w:rPr>
        <w:t>）</w:t>
      </w:r>
      <w:r>
        <w:rPr>
          <w:rFonts w:hint="eastAsia" w:ascii="宋体" w:hAnsi="宋体" w:eastAsia="宋体" w:cs="宋体"/>
          <w:color w:val="auto"/>
          <w:sz w:val="21"/>
          <w:szCs w:val="21"/>
          <w:lang w:val="en-US" w:eastAsia="zh-CN"/>
        </w:rPr>
        <w:t>加减。</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五汁安中饮，本方出自《新增汤头歌诀》。方中有牛乳60ml、韭汁10ml、姜汁10ml、藕汁10ml、梨汁10ml。</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【煎煮方法】和匀。</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【服用方法】少量频服。</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也可选用益胃汤，本方出自《温病条辨》。方中有南沙参10g、玉竹6g、麦冬6g、生地6g。</w:t>
      </w:r>
    </w:p>
    <w:p>
      <w:pPr>
        <w:pStyle w:val="2"/>
        <w:keepLines w:val="0"/>
        <w:pageBreakBefore w:val="0"/>
        <w:kinsoku/>
        <w:overflowPunct/>
        <w:topLinePunct w:val="0"/>
        <w:bidi w:val="0"/>
        <w:adjustRightInd/>
        <w:spacing w:line="360" w:lineRule="exact"/>
        <w:ind w:firstLine="420" w:firstLineChars="200"/>
        <w:rPr>
          <w:rFonts w:hint="eastAsia"/>
          <w:color w:val="auto"/>
          <w:lang w:val="en-US" w:eastAsia="zh-CN"/>
        </w:rPr>
      </w:pPr>
      <w:r>
        <w:rPr>
          <w:rFonts w:hint="eastAsia" w:hAnsi="宋体" w:eastAsia="宋体" w:cs="宋体"/>
          <w:color w:val="auto"/>
          <w:sz w:val="21"/>
          <w:szCs w:val="21"/>
          <w:lang w:val="en-US" w:eastAsia="zh-CN"/>
        </w:rPr>
        <w:t>若</w:t>
      </w:r>
      <w:r>
        <w:rPr>
          <w:rFonts w:hint="eastAsia" w:ascii="宋体" w:hAnsi="宋体" w:eastAsia="宋体" w:cs="宋体"/>
          <w:color w:val="auto"/>
          <w:sz w:val="21"/>
          <w:szCs w:val="21"/>
          <w:lang w:val="en-US" w:eastAsia="zh-CN"/>
        </w:rPr>
        <w:t>纳差、苔腻，</w:t>
      </w:r>
      <w:r>
        <w:rPr>
          <w:rFonts w:hint="eastAsia" w:hAnsi="宋体" w:eastAsia="宋体" w:cs="宋体"/>
          <w:color w:val="auto"/>
          <w:sz w:val="21"/>
          <w:szCs w:val="21"/>
          <w:lang w:val="en-US" w:eastAsia="zh-CN"/>
        </w:rPr>
        <w:t>可</w:t>
      </w:r>
      <w:r>
        <w:rPr>
          <w:rFonts w:hint="eastAsia" w:ascii="宋体" w:hAnsi="宋体" w:eastAsia="宋体" w:cs="宋体"/>
          <w:color w:val="auto"/>
          <w:sz w:val="21"/>
          <w:szCs w:val="21"/>
          <w:lang w:val="en-US" w:eastAsia="zh-CN"/>
        </w:rPr>
        <w:t>去生地</w:t>
      </w:r>
      <w:r>
        <w:rPr>
          <w:rFonts w:hint="eastAsia" w:hAnsi="宋体" w:eastAsia="宋体" w:cs="宋体"/>
          <w:color w:val="auto"/>
          <w:sz w:val="21"/>
          <w:szCs w:val="21"/>
          <w:lang w:val="en-US" w:eastAsia="zh-CN"/>
        </w:rPr>
        <w:t>黄</w:t>
      </w:r>
      <w:r>
        <w:rPr>
          <w:rFonts w:hint="eastAsia" w:ascii="宋体" w:hAnsi="宋体" w:eastAsia="宋体" w:cs="宋体"/>
          <w:color w:val="auto"/>
          <w:sz w:val="21"/>
          <w:szCs w:val="21"/>
          <w:lang w:val="en-US" w:eastAsia="zh-CN"/>
        </w:rPr>
        <w:t>，加石斛、麦芽；</w:t>
      </w:r>
      <w:r>
        <w:rPr>
          <w:rFonts w:hint="eastAsia" w:hAnsi="宋体" w:eastAsia="宋体" w:cs="宋体"/>
          <w:color w:val="auto"/>
          <w:sz w:val="21"/>
          <w:szCs w:val="21"/>
          <w:lang w:val="en-US" w:eastAsia="zh-CN"/>
        </w:rPr>
        <w:t>若</w:t>
      </w:r>
      <w:r>
        <w:rPr>
          <w:rFonts w:hint="eastAsia" w:ascii="宋体" w:hAnsi="宋体" w:eastAsia="宋体" w:cs="宋体"/>
          <w:color w:val="auto"/>
          <w:sz w:val="21"/>
          <w:szCs w:val="21"/>
          <w:lang w:val="en-US" w:eastAsia="zh-CN"/>
        </w:rPr>
        <w:t>兼有头晕目眩、神疲倦怠等肝肾阴亏表现者，</w:t>
      </w:r>
      <w:r>
        <w:rPr>
          <w:rFonts w:hint="eastAsia" w:hAnsi="宋体" w:eastAsia="宋体" w:cs="宋体"/>
          <w:color w:val="auto"/>
          <w:sz w:val="21"/>
          <w:szCs w:val="21"/>
          <w:lang w:val="en-US" w:eastAsia="zh-CN"/>
        </w:rPr>
        <w:t>可</w:t>
      </w:r>
      <w:r>
        <w:rPr>
          <w:rFonts w:hint="eastAsia" w:ascii="宋体" w:hAnsi="宋体" w:eastAsia="宋体" w:cs="宋体"/>
          <w:color w:val="auto"/>
          <w:sz w:val="21"/>
          <w:szCs w:val="21"/>
          <w:lang w:val="en-US" w:eastAsia="zh-CN"/>
        </w:rPr>
        <w:t>加女贞子、旱莲草；</w:t>
      </w:r>
      <w:r>
        <w:rPr>
          <w:rFonts w:hint="eastAsia" w:hAnsi="宋体" w:eastAsia="宋体" w:cs="宋体"/>
          <w:color w:val="auto"/>
          <w:sz w:val="21"/>
          <w:szCs w:val="21"/>
          <w:lang w:val="en-US" w:eastAsia="zh-CN"/>
        </w:rPr>
        <w:t>若</w:t>
      </w:r>
      <w:r>
        <w:rPr>
          <w:rFonts w:hint="eastAsia" w:ascii="宋体" w:hAnsi="宋体" w:eastAsia="宋体" w:cs="宋体"/>
          <w:color w:val="auto"/>
          <w:sz w:val="21"/>
          <w:szCs w:val="21"/>
          <w:lang w:val="en-US" w:eastAsia="zh-CN"/>
        </w:rPr>
        <w:t>大便干结难下者</w:t>
      </w:r>
      <w:r>
        <w:rPr>
          <w:rFonts w:hint="eastAsia" w:hAnsi="宋体" w:eastAsia="宋体" w:cs="宋体"/>
          <w:color w:val="auto"/>
          <w:sz w:val="21"/>
          <w:szCs w:val="21"/>
          <w:lang w:val="en-US" w:eastAsia="zh-CN"/>
        </w:rPr>
        <w:t>可</w:t>
      </w:r>
      <w:r>
        <w:rPr>
          <w:rFonts w:hint="eastAsia" w:ascii="宋体" w:hAnsi="宋体" w:eastAsia="宋体" w:cs="宋体"/>
          <w:color w:val="auto"/>
          <w:sz w:val="21"/>
          <w:szCs w:val="21"/>
          <w:lang w:val="en-US" w:eastAsia="zh-CN"/>
        </w:rPr>
        <w:t>加火麻仁、制首乌</w:t>
      </w:r>
      <w:r>
        <w:rPr>
          <w:rFonts w:hint="eastAsia"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白芍；</w:t>
      </w:r>
      <w:r>
        <w:rPr>
          <w:rFonts w:hint="eastAsia" w:hAnsi="宋体" w:eastAsia="宋体" w:cs="宋体"/>
          <w:color w:val="auto"/>
          <w:sz w:val="21"/>
          <w:szCs w:val="21"/>
          <w:lang w:val="en-US" w:eastAsia="zh-CN"/>
        </w:rPr>
        <w:t>若</w:t>
      </w:r>
      <w:r>
        <w:rPr>
          <w:rFonts w:hint="eastAsia" w:ascii="宋体" w:hAnsi="宋体" w:eastAsia="宋体" w:cs="宋体"/>
          <w:color w:val="auto"/>
          <w:sz w:val="21"/>
          <w:szCs w:val="21"/>
          <w:lang w:val="en-US" w:eastAsia="zh-CN"/>
        </w:rPr>
        <w:t>有呃逆、呕恶者</w:t>
      </w:r>
      <w:r>
        <w:rPr>
          <w:rFonts w:hint="eastAsia" w:hAnsi="宋体" w:eastAsia="宋体" w:cs="宋体"/>
          <w:color w:val="auto"/>
          <w:sz w:val="21"/>
          <w:szCs w:val="21"/>
          <w:lang w:val="en-US" w:eastAsia="zh-CN"/>
        </w:rPr>
        <w:t>可</w:t>
      </w:r>
      <w:r>
        <w:rPr>
          <w:rFonts w:hint="eastAsia" w:ascii="宋体" w:hAnsi="宋体" w:eastAsia="宋体" w:cs="宋体"/>
          <w:color w:val="auto"/>
          <w:sz w:val="21"/>
          <w:szCs w:val="21"/>
          <w:lang w:val="en-US" w:eastAsia="zh-CN"/>
        </w:rPr>
        <w:t>加竹茹、柿蒂；</w:t>
      </w:r>
      <w:r>
        <w:rPr>
          <w:rFonts w:hint="eastAsia" w:hAnsi="宋体" w:eastAsia="宋体" w:cs="宋体"/>
          <w:color w:val="auto"/>
          <w:sz w:val="21"/>
          <w:szCs w:val="21"/>
          <w:lang w:val="en-US" w:eastAsia="zh-CN"/>
        </w:rPr>
        <w:t>若</w:t>
      </w:r>
      <w:r>
        <w:rPr>
          <w:rFonts w:hint="eastAsia" w:ascii="宋体" w:hAnsi="宋体" w:eastAsia="宋体" w:cs="宋体"/>
          <w:color w:val="auto"/>
          <w:sz w:val="21"/>
          <w:szCs w:val="21"/>
          <w:lang w:val="en-US" w:eastAsia="zh-CN"/>
        </w:rPr>
        <w:t>胃脘疼痛明显者，</w:t>
      </w:r>
      <w:r>
        <w:rPr>
          <w:rFonts w:hint="eastAsia" w:hAnsi="宋体" w:eastAsia="宋体" w:cs="宋体"/>
          <w:color w:val="auto"/>
          <w:sz w:val="21"/>
          <w:szCs w:val="21"/>
          <w:lang w:val="en-US" w:eastAsia="zh-CN"/>
        </w:rPr>
        <w:t>可</w:t>
      </w:r>
      <w:r>
        <w:rPr>
          <w:rFonts w:hint="eastAsia" w:ascii="宋体" w:hAnsi="宋体" w:eastAsia="宋体" w:cs="宋体"/>
          <w:color w:val="auto"/>
          <w:sz w:val="21"/>
          <w:szCs w:val="21"/>
          <w:lang w:val="en-US" w:eastAsia="zh-CN"/>
        </w:rPr>
        <w:t>加</w:t>
      </w:r>
      <w:r>
        <w:rPr>
          <w:rFonts w:hint="eastAsia" w:hAnsi="宋体" w:eastAsia="宋体" w:cs="宋体"/>
          <w:color w:val="auto"/>
          <w:sz w:val="21"/>
          <w:szCs w:val="21"/>
          <w:lang w:val="en-US" w:eastAsia="zh-CN"/>
        </w:rPr>
        <w:t>元胡</w:t>
      </w:r>
      <w:r>
        <w:rPr>
          <w:rFonts w:hint="eastAsia" w:ascii="宋体" w:hAnsi="宋体" w:eastAsia="宋体" w:cs="宋体"/>
          <w:color w:val="auto"/>
          <w:sz w:val="21"/>
          <w:szCs w:val="21"/>
          <w:lang w:val="en-US" w:eastAsia="zh-CN"/>
        </w:rPr>
        <w:t>。</w:t>
      </w:r>
    </w:p>
    <w:p>
      <w:pPr>
        <w:keepNext w:val="0"/>
        <w:keepLines w:val="0"/>
        <w:pageBreakBefore w:val="0"/>
        <w:widowControl w:val="0"/>
        <w:numPr>
          <w:ilvl w:val="0"/>
          <w:numId w:val="6"/>
        </w:numPr>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黑体" w:hAnsi="黑体" w:eastAsia="黑体" w:cs="黑体"/>
          <w:b w:val="0"/>
          <w:bCs w:val="0"/>
          <w:color w:val="auto"/>
          <w:kern w:val="2"/>
          <w:sz w:val="21"/>
          <w:szCs w:val="21"/>
          <w:lang w:val="en-US" w:eastAsia="zh-CN" w:bidi="ar-SA"/>
        </w:rPr>
        <w:t>肝肾阴虚，津液亏虚证（</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度：强推荐；共识同意率：完全同意85.43%，</w:t>
      </w:r>
      <w:r>
        <w:rPr>
          <w:rFonts w:hint="eastAsia" w:ascii="黑体" w:hAnsi="黑体" w:eastAsia="黑体" w:cs="黑体"/>
          <w:color w:val="auto"/>
          <w:kern w:val="0"/>
          <w:sz w:val="21"/>
          <w:szCs w:val="21"/>
          <w:lang w:val="en-US" w:eastAsia="zh-CN" w:bidi="ar"/>
        </w:rPr>
        <w:t>同意但保留部分意见14.57%</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【主要症状】口干口渴，胸部不舒，但不影响进食，伴身体消瘦、头晕目眩、神疲倦怠，舌质偏红，苔少乏津或有裂纹，脉细无力或涩。多见于阴虚体质。</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【治法】滋补肝肾，养阴润燥。</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【推荐方药】一贯煎</w:t>
      </w:r>
      <w:r>
        <w:rPr>
          <w:rFonts w:hint="eastAsia" w:ascii="黑体" w:hAnsi="黑体" w:eastAsia="黑体" w:cs="黑体"/>
          <w:b w:val="0"/>
          <w:bCs w:val="0"/>
          <w:color w:val="auto"/>
          <w:sz w:val="21"/>
          <w:szCs w:val="21"/>
          <w:lang w:val="en-US" w:eastAsia="zh-CN"/>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度：弱</w:t>
      </w:r>
      <w:r>
        <w:rPr>
          <w:rFonts w:hint="eastAsia" w:ascii="黑体" w:hAnsi="黑体" w:eastAsia="黑体" w:cs="黑体"/>
          <w:color w:val="auto"/>
          <w:sz w:val="21"/>
          <w:szCs w:val="21"/>
          <w:lang w:val="en-US" w:eastAsia="zh-CN"/>
        </w:rPr>
        <w:t>推荐）</w:t>
      </w:r>
      <w:r>
        <w:rPr>
          <w:rFonts w:hint="eastAsia" w:ascii="宋体" w:hAnsi="宋体" w:eastAsia="宋体" w:cs="宋体"/>
          <w:color w:val="auto"/>
          <w:sz w:val="21"/>
          <w:szCs w:val="21"/>
          <w:lang w:val="en-US" w:eastAsia="zh-CN"/>
        </w:rPr>
        <w:t>合知柏地黄丸</w:t>
      </w:r>
      <w:r>
        <w:rPr>
          <w:rFonts w:hint="eastAsia" w:ascii="黑体" w:hAnsi="黑体" w:eastAsia="黑体" w:cs="黑体"/>
          <w:color w:val="auto"/>
          <w:sz w:val="21"/>
          <w:szCs w:val="21"/>
          <w:lang w:val="en-US" w:eastAsia="zh-CN"/>
        </w:rPr>
        <w:t>（推荐强度：弱推荐）</w:t>
      </w:r>
      <w:r>
        <w:rPr>
          <w:rFonts w:hint="eastAsia" w:ascii="宋体" w:hAnsi="宋体" w:eastAsia="宋体" w:cs="宋体"/>
          <w:color w:val="auto"/>
          <w:sz w:val="21"/>
          <w:szCs w:val="21"/>
          <w:lang w:val="en-US" w:eastAsia="zh-CN"/>
        </w:rPr>
        <w:t>加减。一贯煎出自《续名医类案》，知柏地黄丸出自《医宗金鉴》。</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方中有生地黄6g，南沙参6g，麦冬6g，当归10g，枸杞6g，川楝子6g，熟地黄15g，山药15g，山萸肉10g，牡丹皮9g，茯苓9g，泽泻9g，知母6g，黄柏6g。</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若有胃脘不适、少食纳呆等胃阴虚表现可加石斛、玉竹等养阴益胃之品；若有干咳无痰、咽干舌燥等肺阴亏表现酌可加生石膏、知母；若大便干结难下可加火麻仁、郁李仁。</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【注1】以上证型是食管癌前病变的大体治疗证型分类，在临床使用时应按照辨证观、整体观、动态观进行灵活应用。</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【注2】煎煮方法：药物倒入锅内加干净冷水，淹过药面2</w:t>
      </w:r>
      <w:r>
        <w:rPr>
          <w:rFonts w:hint="eastAsia" w:ascii="宋体" w:hAnsi="宋体" w:eastAsia="宋体" w:cs="宋体"/>
          <w:color w:val="auto"/>
          <w:kern w:val="2"/>
          <w:sz w:val="21"/>
          <w:szCs w:val="21"/>
          <w:lang w:val="en-US" w:eastAsia="zh-CN" w:bidi="ar-SA"/>
        </w:rPr>
        <w:t>～</w:t>
      </w:r>
      <w:r>
        <w:rPr>
          <w:rFonts w:hint="eastAsia" w:ascii="宋体" w:hAnsi="宋体" w:eastAsia="宋体" w:cs="宋体"/>
          <w:color w:val="auto"/>
          <w:sz w:val="21"/>
          <w:szCs w:val="21"/>
          <w:lang w:val="en-US" w:eastAsia="zh-CN"/>
        </w:rPr>
        <w:t>3cm，浸泡30</w:t>
      </w:r>
      <w:r>
        <w:rPr>
          <w:rFonts w:hint="eastAsia" w:ascii="宋体" w:hAnsi="宋体" w:eastAsia="宋体" w:cs="宋体"/>
          <w:color w:val="auto"/>
          <w:kern w:val="2"/>
          <w:sz w:val="21"/>
          <w:szCs w:val="21"/>
          <w:lang w:val="en-US" w:eastAsia="zh-CN" w:bidi="ar-SA"/>
        </w:rPr>
        <w:t>～</w:t>
      </w:r>
      <w:r>
        <w:rPr>
          <w:rFonts w:hint="eastAsia" w:ascii="宋体" w:hAnsi="宋体" w:eastAsia="宋体" w:cs="宋体"/>
          <w:color w:val="auto"/>
          <w:sz w:val="21"/>
          <w:szCs w:val="21"/>
          <w:lang w:val="en-US" w:eastAsia="zh-CN"/>
        </w:rPr>
        <w:t>60分钟；每剂药煎两次，头煎先用大火将药煮沸后，改用小火，维持沸腾至医嘱规定时间；先煎药物在其他药物煎煮前先放入锅中煎30分钟，后下药物于头煎完成前5</w:t>
      </w:r>
      <w:r>
        <w:rPr>
          <w:rFonts w:hint="eastAsia" w:ascii="宋体" w:hAnsi="宋体" w:eastAsia="宋体" w:cs="宋体"/>
          <w:color w:val="auto"/>
          <w:kern w:val="2"/>
          <w:sz w:val="21"/>
          <w:szCs w:val="21"/>
          <w:lang w:val="en-US" w:eastAsia="zh-CN" w:bidi="ar-SA"/>
        </w:rPr>
        <w:t>～</w:t>
      </w:r>
      <w:r>
        <w:rPr>
          <w:rFonts w:hint="eastAsia" w:ascii="宋体" w:hAnsi="宋体" w:eastAsia="宋体" w:cs="宋体"/>
          <w:color w:val="auto"/>
          <w:sz w:val="21"/>
          <w:szCs w:val="21"/>
          <w:lang w:val="en-US" w:eastAsia="zh-CN"/>
        </w:rPr>
        <w:t>10分钟下锅；第二煎加水适量，其他同头煎，两煎合并后分两次服用。</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【注3】服用方法：每日1剂，早晚各服一次。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7.3.2.2 中成药</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1）肝胃不和，痰气交阻证</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木香顺气丸（</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度：强推荐；共识同意率：完全同意86.67%，</w:t>
      </w:r>
      <w:r>
        <w:rPr>
          <w:rFonts w:hint="eastAsia" w:ascii="黑体" w:hAnsi="黑体" w:eastAsia="黑体" w:cs="黑体"/>
          <w:color w:val="auto"/>
          <w:kern w:val="0"/>
          <w:sz w:val="21"/>
          <w:szCs w:val="21"/>
          <w:lang w:val="en-US" w:eastAsia="zh-CN" w:bidi="ar"/>
        </w:rPr>
        <w:t>同意但保留部分意见11.11%</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功用为行气解郁、和中燥湿。用于食管癌前病变有脘腹胀痛，胸膈胀闷，恶心呕吐，饮食不消，大便不爽临床表现的患者。用法：口服，每次6～9g，每日2～3次，温开水送服。</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sz w:val="21"/>
          <w:szCs w:val="21"/>
          <w:lang w:val="en-US" w:eastAsia="zh-CN"/>
        </w:rPr>
        <w:t>气滞胃痛颗粒</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度：强推荐；共识同意率：完全同意88.64%，</w:t>
      </w:r>
      <w:r>
        <w:rPr>
          <w:rFonts w:hint="eastAsia" w:ascii="黑体" w:hAnsi="黑体" w:eastAsia="黑体" w:cs="黑体"/>
          <w:color w:val="auto"/>
          <w:kern w:val="0"/>
          <w:sz w:val="21"/>
          <w:szCs w:val="21"/>
          <w:lang w:val="en-US" w:eastAsia="zh-CN" w:bidi="ar"/>
        </w:rPr>
        <w:t>同意但保留部分意见11.36%</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：功用为舒肝理气，和胃止痛。用于食管癌前病变有肝郁气滞，胸痞胀满，胃脘疼痛不舒表现的患者。用法：口服，每次5g，每日3次，空腹温开水送服。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黑体" w:hAnsi="黑体" w:eastAsia="黑体" w:cs="黑体"/>
          <w:b/>
          <w:bCs/>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2）胃热壅盛，浊气上逆证</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复方冬凌草片（</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度：强推荐；共识同意率：完全同意82.22%，</w:t>
      </w:r>
      <w:r>
        <w:rPr>
          <w:rFonts w:hint="eastAsia" w:ascii="黑体" w:hAnsi="黑体" w:eastAsia="黑体" w:cs="黑体"/>
          <w:color w:val="auto"/>
          <w:kern w:val="0"/>
          <w:sz w:val="21"/>
          <w:szCs w:val="21"/>
          <w:lang w:val="en-US" w:eastAsia="zh-CN" w:bidi="ar"/>
        </w:rPr>
        <w:t>同意但保留部分意见17.78%</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功用为清咽利喉、通利食道。用于食管癌前病变有咽部干燥、咽部灼热、疼痛表现的患者。用法：口服，每次4～6片，每日3次，温开水送服。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color w:val="auto"/>
          <w:lang w:val="en-US" w:eastAsia="zh-CN"/>
        </w:rPr>
      </w:pPr>
      <w:r>
        <w:rPr>
          <w:rFonts w:hint="eastAsia" w:ascii="黑体" w:hAnsi="黑体" w:eastAsia="黑体" w:cs="黑体"/>
          <w:color w:val="auto"/>
          <w:kern w:val="2"/>
          <w:sz w:val="21"/>
          <w:szCs w:val="21"/>
          <w:lang w:val="en-US" w:eastAsia="zh-CN" w:bidi="ar-SA"/>
        </w:rPr>
        <w:t>增生平片</w:t>
      </w:r>
      <w:r>
        <w:rPr>
          <w:rFonts w:hint="eastAsia" w:ascii="黑体" w:hAnsi="黑体" w:eastAsia="黑体" w:cs="黑体"/>
          <w:color w:val="auto"/>
          <w:kern w:val="2"/>
          <w:sz w:val="21"/>
          <w:szCs w:val="21"/>
          <w:vertAlign w:val="superscript"/>
          <w:lang w:val="en-US" w:eastAsia="zh-CN" w:bidi="ar-SA"/>
        </w:rPr>
        <w:t>[53]</w:t>
      </w:r>
      <w:r>
        <w:rPr>
          <w:rFonts w:hint="eastAsia" w:ascii="黑体" w:hAnsi="黑体" w:eastAsia="黑体" w:cs="黑体"/>
          <w:b w:val="0"/>
          <w:bCs w:val="0"/>
          <w:color w:val="auto"/>
          <w:kern w:val="2"/>
          <w:sz w:val="21"/>
          <w:szCs w:val="21"/>
          <w:lang w:val="en-US" w:eastAsia="zh-CN" w:bidi="ar-SA"/>
        </w:rPr>
        <w:t>（证据级别：</w:t>
      </w:r>
      <w:r>
        <w:rPr>
          <w:rFonts w:hint="default" w:ascii="Times New Roman" w:hAnsi="Times New Roman" w:eastAsia="黑体" w:cs="Times New Roman"/>
          <w:color w:val="auto"/>
          <w:kern w:val="2"/>
          <w:sz w:val="21"/>
          <w:szCs w:val="21"/>
          <w:lang w:val="en-US" w:eastAsia="zh-CN" w:bidi="ar-SA"/>
        </w:rPr>
        <w:t>Ⅲ</w:t>
      </w:r>
      <w:r>
        <w:rPr>
          <w:rFonts w:hint="eastAsia" w:ascii="黑体" w:hAnsi="黑体" w:eastAsia="黑体" w:cs="黑体"/>
          <w:color w:val="auto"/>
          <w:kern w:val="2"/>
          <w:sz w:val="21"/>
          <w:szCs w:val="21"/>
          <w:lang w:val="en-US" w:eastAsia="zh-CN" w:bidi="ar-SA"/>
        </w:rPr>
        <w:t>级；推荐强</w:t>
      </w:r>
      <w:r>
        <w:rPr>
          <w:rFonts w:hint="eastAsia" w:ascii="黑体" w:hAnsi="黑体" w:eastAsia="黑体" w:cs="黑体"/>
          <w:b w:val="0"/>
          <w:bCs w:val="0"/>
          <w:color w:val="auto"/>
          <w:kern w:val="2"/>
          <w:sz w:val="21"/>
          <w:szCs w:val="21"/>
          <w:lang w:val="en-US" w:eastAsia="zh-CN" w:bidi="ar-SA"/>
        </w:rPr>
        <w:t>度：强推荐；完全同意90.91%，</w:t>
      </w:r>
      <w:r>
        <w:rPr>
          <w:rFonts w:hint="eastAsia" w:ascii="黑体" w:hAnsi="黑体" w:eastAsia="黑体" w:cs="黑体"/>
          <w:color w:val="auto"/>
          <w:kern w:val="0"/>
          <w:sz w:val="21"/>
          <w:szCs w:val="21"/>
          <w:lang w:val="en-US" w:eastAsia="zh-CN" w:bidi="ar"/>
        </w:rPr>
        <w:t>同意但保留部分意见9.09%</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功用为清热解毒，化瘀散结。适用于食管和贲门上皮增生，具有呃逆，进食吞咽不利，口干，口苦，咽痛，便干，舌暗，脉弦滑等热瘀内结表现者。用法：口服，每次8片，每日2次，温开水送服。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3）脾胃虚弱，痰瘀互结证</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人参健脾丸（</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度：强推荐；共识同意率：完全同意90.91%，</w:t>
      </w:r>
      <w:r>
        <w:rPr>
          <w:rFonts w:hint="eastAsia" w:ascii="黑体" w:hAnsi="黑体" w:eastAsia="黑体" w:cs="黑体"/>
          <w:color w:val="auto"/>
          <w:kern w:val="0"/>
          <w:sz w:val="21"/>
          <w:szCs w:val="21"/>
          <w:lang w:val="en-US" w:eastAsia="zh-CN" w:bidi="ar"/>
        </w:rPr>
        <w:t>同意但保留部分意见6.82%</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健脾益气、和胃止泻。用于食管癌前病变有脾胃虚弱，消化不良，食欲减退，体倦乏力，脘腹胀满，肠鸣腹泻表现的患者，亦用于脾胃虚弱，气血亏少，胃体失养所致胃脘不适的患者。用法：大蜜丸每次2丸口服（水蜜丸一次4～6g口服），每日2次，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参苓白术丸（</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度：强推荐；共识同意率：完全同意80%，</w:t>
      </w:r>
      <w:r>
        <w:rPr>
          <w:rFonts w:hint="eastAsia" w:ascii="黑体" w:hAnsi="黑体" w:eastAsia="黑体" w:cs="黑体"/>
          <w:color w:val="auto"/>
          <w:kern w:val="0"/>
          <w:sz w:val="21"/>
          <w:szCs w:val="21"/>
          <w:lang w:val="en-US" w:eastAsia="zh-CN" w:bidi="ar"/>
        </w:rPr>
        <w:t>同意但保留部分意见20%</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功用为益气健脾、渗湿止泻。用于食管癌前病变有脾胃虚弱，食少便溏，肢倦无力，气短咳嗽表现的患者，亦用于脾胃气虚所致脘痞不适的患者。用法：口服，每次6～9g，每日2次，温开水送服。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香砂养胃丸（</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度：强推荐；共识同意率：完全同意90.91%，</w:t>
      </w:r>
      <w:r>
        <w:rPr>
          <w:rFonts w:hint="eastAsia" w:ascii="黑体" w:hAnsi="黑体" w:eastAsia="黑体" w:cs="黑体"/>
          <w:color w:val="auto"/>
          <w:kern w:val="0"/>
          <w:sz w:val="21"/>
          <w:szCs w:val="21"/>
          <w:lang w:val="en-US" w:eastAsia="zh-CN" w:bidi="ar"/>
        </w:rPr>
        <w:t>同意但保留部分意见6.82%</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功用为温中和胃，健脾舒气。用于食管癌前病变有消化不良，不思饮食，呕吐酸水，胃脘胀满，四肢倦怠表现的患者。用法：口服，每次9g，每日2次，温开水送服。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保和丸（</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度：强推荐；共识同意率：完全同意80%，</w:t>
      </w:r>
      <w:r>
        <w:rPr>
          <w:rFonts w:hint="eastAsia" w:ascii="黑体" w:hAnsi="黑体" w:eastAsia="黑体" w:cs="黑体"/>
          <w:color w:val="auto"/>
          <w:kern w:val="0"/>
          <w:sz w:val="21"/>
          <w:szCs w:val="21"/>
          <w:lang w:val="en-US" w:eastAsia="zh-CN" w:bidi="ar"/>
        </w:rPr>
        <w:t>同意但保留部分意见20%</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功用为消食和胃、清热祛湿。用于食管癌前病变有食积停滞，消化不良，脘腹胀满，嗳腐吞酸，不思饮食表现的患者。用法：口服，每次6～9g，每日2次，温开水送服。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附子理中丸</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度：强推荐；共识同意率：完全同意80%，</w:t>
      </w:r>
      <w:r>
        <w:rPr>
          <w:rFonts w:hint="eastAsia" w:ascii="黑体" w:hAnsi="黑体" w:eastAsia="黑体" w:cs="黑体"/>
          <w:color w:val="auto"/>
          <w:kern w:val="0"/>
          <w:sz w:val="21"/>
          <w:szCs w:val="21"/>
          <w:lang w:val="en-US" w:eastAsia="zh-CN" w:bidi="ar"/>
        </w:rPr>
        <w:t>同意但保留部分意见20%</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温阳逐寒、益气健脾。用于食管癌前病变有脾胃虚寒，脘腹冷痛，手足不温，呕吐泄泻表现的患者，亦用于脾胃虚寒，中阳不振之胃脘不适的患者。用法：口服，每次6～9g，每日2～3次，姜汤或温开水送服。</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4）胃阴亏虚，食管失濡证</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复方阿胶浆（</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度：强推荐；共识同意率：完全同意86.67%，</w:t>
      </w:r>
      <w:r>
        <w:rPr>
          <w:rFonts w:hint="eastAsia" w:ascii="黑体" w:hAnsi="黑体" w:eastAsia="黑体" w:cs="黑体"/>
          <w:color w:val="auto"/>
          <w:kern w:val="0"/>
          <w:sz w:val="21"/>
          <w:szCs w:val="21"/>
          <w:lang w:val="en-US" w:eastAsia="zh-CN" w:bidi="ar"/>
        </w:rPr>
        <w:t>同意但保留部分意见13.33%</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功用为补气养血。用于食管癌前病变有头晕目眩、心悸、口干咽燥、失眠多梦、食欲不佳、贫血表现的患者。用法：口服，每次10ml，每日3次。</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生脉饮（</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度：强推荐；共识同意率：完全同意86.36%，</w:t>
      </w:r>
      <w:r>
        <w:rPr>
          <w:rFonts w:hint="eastAsia" w:ascii="黑体" w:hAnsi="黑体" w:eastAsia="黑体" w:cs="黑体"/>
          <w:color w:val="auto"/>
          <w:kern w:val="0"/>
          <w:sz w:val="21"/>
          <w:szCs w:val="21"/>
          <w:lang w:val="en-US" w:eastAsia="zh-CN" w:bidi="ar"/>
        </w:rPr>
        <w:t>同意但保留部分意见13.64%</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功用为益气生津、敛阴止汗。用于食管癌前病变有体倦、气短、懒言、口渴、多汗、咽干舌燥、干咳少痰、短气自汗表现的患者。用法：口服，每次1支，每日3次。</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5）肝肾阴虚，津液亏虚证</w:t>
      </w:r>
    </w:p>
    <w:p>
      <w:pPr>
        <w:keepNext w:val="0"/>
        <w:keepLines w:val="0"/>
        <w:pageBreakBefore w:val="0"/>
        <w:numPr>
          <w:ilvl w:val="0"/>
          <w:numId w:val="0"/>
        </w:numPr>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六味地黄丸（证据级别：</w:t>
      </w:r>
      <w:r>
        <w:rPr>
          <w:rFonts w:hint="default" w:ascii="Times New Roman" w:hAnsi="Times New Roman" w:eastAsia="黑体" w:cs="Times New Roman"/>
          <w:color w:val="auto"/>
          <w:kern w:val="2"/>
          <w:sz w:val="21"/>
          <w:szCs w:val="21"/>
          <w:lang w:val="en-US" w:eastAsia="zh-CN" w:bidi="ar-SA"/>
        </w:rPr>
        <w:t>Ⅲ</w:t>
      </w:r>
      <w:r>
        <w:rPr>
          <w:rFonts w:hint="eastAsia" w:ascii="黑体" w:hAnsi="黑体" w:eastAsia="黑体" w:cs="黑体"/>
          <w:color w:val="auto"/>
          <w:kern w:val="2"/>
          <w:sz w:val="21"/>
          <w:szCs w:val="21"/>
          <w:lang w:val="en-US" w:eastAsia="zh-CN" w:bidi="ar-SA"/>
        </w:rPr>
        <w:t>级；推荐强</w:t>
      </w:r>
      <w:r>
        <w:rPr>
          <w:rFonts w:hint="eastAsia" w:ascii="黑体" w:hAnsi="黑体" w:eastAsia="黑体" w:cs="黑体"/>
          <w:b w:val="0"/>
          <w:bCs w:val="0"/>
          <w:color w:val="auto"/>
          <w:kern w:val="2"/>
          <w:sz w:val="21"/>
          <w:szCs w:val="21"/>
          <w:lang w:val="en-US" w:eastAsia="zh-CN" w:bidi="ar-SA"/>
        </w:rPr>
        <w:t>度：强推荐；共识同意率：完全同意87.67%，</w:t>
      </w:r>
      <w:r>
        <w:rPr>
          <w:rFonts w:hint="eastAsia" w:ascii="黑体" w:hAnsi="黑体" w:eastAsia="黑体" w:cs="黑体"/>
          <w:color w:val="auto"/>
          <w:kern w:val="0"/>
          <w:sz w:val="21"/>
          <w:szCs w:val="21"/>
          <w:lang w:val="en-US" w:eastAsia="zh-CN" w:bidi="ar"/>
        </w:rPr>
        <w:t>同意但保留部分意见6.66%</w:t>
      </w:r>
      <w:r>
        <w:rPr>
          <w:rFonts w:hint="eastAsia" w:ascii="黑体" w:hAnsi="黑体" w:eastAsia="黑体" w:cs="黑体"/>
          <w:b w:val="0"/>
          <w:bCs w:val="0"/>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功用为滋补肾阴。用于食管癌前病变有肝肾阴虚，腰膝酸软，头目眩晕，耳鸣耳聋，盗汗，遗精，骨蒸潮热，手足心热，或消渴，或虚火牙痛，牙齿动摇表现的患者。用法：口服，每次6g，每日2次，温开水送服。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sz w:val="21"/>
          <w:szCs w:val="21"/>
          <w:lang w:val="en-US" w:eastAsia="zh-CN"/>
        </w:rPr>
        <w:t xml:space="preserve">7.3.2.3 </w:t>
      </w:r>
      <w:r>
        <w:rPr>
          <w:rFonts w:hint="eastAsia" w:ascii="黑体" w:hAnsi="黑体" w:eastAsia="黑体" w:cs="黑体"/>
          <w:b w:val="0"/>
          <w:bCs w:val="0"/>
          <w:color w:val="auto"/>
          <w:kern w:val="2"/>
          <w:sz w:val="21"/>
          <w:szCs w:val="21"/>
          <w:lang w:val="en-US" w:eastAsia="zh-CN" w:bidi="ar-SA"/>
        </w:rPr>
        <w:t>食疗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b w:val="0"/>
          <w:bCs w:val="0"/>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1）肝胃不和，痰气交阻证</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rPr>
      </w:pPr>
      <w:r>
        <w:rPr>
          <w:rFonts w:hint="eastAsia" w:ascii="黑体" w:hAnsi="黑体" w:eastAsia="黑体" w:cs="黑体"/>
          <w:color w:val="auto"/>
          <w:szCs w:val="21"/>
        </w:rPr>
        <w:t>陈</w:t>
      </w:r>
      <w:r>
        <w:rPr>
          <w:rFonts w:hint="eastAsia" w:ascii="黑体" w:hAnsi="黑体" w:eastAsia="黑体" w:cs="黑体"/>
          <w:color w:val="auto"/>
          <w:szCs w:val="21"/>
          <w:lang w:val="en-US" w:eastAsia="zh-CN"/>
        </w:rPr>
        <w:t>皮</w:t>
      </w:r>
      <w:r>
        <w:rPr>
          <w:rFonts w:hint="eastAsia" w:ascii="黑体" w:hAnsi="黑体" w:eastAsia="黑体" w:cs="黑体"/>
          <w:color w:val="auto"/>
          <w:szCs w:val="21"/>
        </w:rPr>
        <w:t>苡仁粥</w:t>
      </w:r>
      <w:r>
        <w:rPr>
          <w:rFonts w:hint="eastAsia" w:ascii="宋体" w:hAnsi="宋体" w:eastAsia="宋体" w:cs="黑体"/>
          <w:color w:val="auto"/>
          <w:szCs w:val="21"/>
          <w:vertAlign w:val="superscript"/>
        </w:rPr>
        <w:t>[</w:t>
      </w:r>
      <w:r>
        <w:rPr>
          <w:rFonts w:hint="eastAsia" w:ascii="宋体" w:hAnsi="宋体" w:eastAsia="宋体" w:cs="黑体"/>
          <w:color w:val="auto"/>
          <w:szCs w:val="21"/>
          <w:vertAlign w:val="superscript"/>
          <w:lang w:val="en-US" w:eastAsia="zh-CN"/>
        </w:rPr>
        <w:t>54-55</w:t>
      </w:r>
      <w:r>
        <w:rPr>
          <w:rFonts w:ascii="宋体" w:hAnsi="宋体" w:eastAsia="宋体" w:cs="黑体"/>
          <w:color w:val="auto"/>
          <w:szCs w:val="21"/>
          <w:vertAlign w:val="superscript"/>
        </w:rPr>
        <w:t>]</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度：强推荐；共识同意率：完全同意85.4%，</w:t>
      </w:r>
      <w:r>
        <w:rPr>
          <w:rFonts w:hint="eastAsia" w:ascii="黑体" w:hAnsi="黑体" w:eastAsia="黑体" w:cs="黑体"/>
          <w:color w:val="auto"/>
          <w:kern w:val="0"/>
          <w:sz w:val="21"/>
          <w:szCs w:val="21"/>
          <w:lang w:val="en-US" w:eastAsia="zh-CN" w:bidi="ar"/>
        </w:rPr>
        <w:t>同意但保留部分意见14.6%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适用于食管癌前病变表现有：自觉咽喉不适，有异物感，情志不舒时以上症状加重，或胸脘痞满，嗳气频频等症状的人群食用；气郁、痰湿体质亦可食用。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【材料】陈皮5g，薏苡仁、粳米各60g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【做法】陈皮</w:t>
      </w:r>
      <w:r>
        <w:rPr>
          <w:rFonts w:hint="eastAsia" w:ascii="宋体" w:hAnsi="宋体" w:eastAsia="宋体" w:cs="宋体"/>
          <w:color w:val="auto"/>
          <w:szCs w:val="21"/>
          <w:lang w:eastAsia="zh-CN"/>
        </w:rPr>
        <w:t>、</w:t>
      </w:r>
      <w:r>
        <w:rPr>
          <w:rFonts w:hint="eastAsia" w:ascii="宋体" w:hAnsi="宋体" w:eastAsia="宋体" w:cs="宋体"/>
          <w:color w:val="auto"/>
          <w:szCs w:val="21"/>
        </w:rPr>
        <w:t>薏苡仁</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粳米</w:t>
      </w:r>
      <w:r>
        <w:rPr>
          <w:rFonts w:hint="eastAsia" w:ascii="宋体" w:hAnsi="宋体" w:eastAsia="宋体" w:cs="宋体"/>
          <w:color w:val="auto"/>
          <w:szCs w:val="21"/>
        </w:rPr>
        <w:t>冼净，一齐放入锅内，加清水适量，文火煮成稀粥，调味即可。</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【解析】陈皮理气健脾、燥湿化痰，薏苡仁利水渗湿。</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【宜忌】气虚及阴虚燥咳、吐血者及内有实热者不宜使用；本方中病即止，不宜久用。</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①稀稠适宜；②不可糊锅；③每日熬煮新鲜食用，不可服用隔夜药粥</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2）胃热壅盛，浊气上逆证</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丝瓜鹌鹑汤</w:t>
      </w:r>
      <w:r>
        <w:rPr>
          <w:rFonts w:hint="eastAsia" w:ascii="宋体" w:hAnsi="宋体" w:eastAsia="宋体" w:cs="宋体"/>
          <w:color w:val="auto"/>
          <w:szCs w:val="21"/>
          <w:vertAlign w:val="superscript"/>
          <w:lang w:val="en-US" w:eastAsia="zh-CN"/>
        </w:rPr>
        <w:t>[56]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度：强推荐；共识同意率：完全同意84.44%，</w:t>
      </w:r>
      <w:r>
        <w:rPr>
          <w:rFonts w:hint="eastAsia" w:ascii="黑体" w:hAnsi="黑体" w:eastAsia="黑体" w:cs="黑体"/>
          <w:color w:val="auto"/>
          <w:kern w:val="0"/>
          <w:sz w:val="21"/>
          <w:szCs w:val="21"/>
          <w:lang w:val="en-US" w:eastAsia="zh-CN" w:bidi="ar"/>
        </w:rPr>
        <w:t>同意但保留部分意见13.33%</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适用于食管癌前病变表现有：胸骨后灼热不舒，进热食时加重，</w:t>
      </w:r>
      <w:r>
        <w:rPr>
          <w:rFonts w:hint="eastAsia" w:ascii="宋体" w:hAnsi="宋体" w:eastAsia="宋体" w:cs="宋体"/>
          <w:color w:val="auto"/>
          <w:szCs w:val="21"/>
          <w:lang w:val="en-US" w:eastAsia="zh-CN"/>
        </w:rPr>
        <w:t>反</w:t>
      </w:r>
      <w:r>
        <w:rPr>
          <w:rFonts w:hint="eastAsia" w:ascii="宋体" w:hAnsi="宋体" w:eastAsia="宋体" w:cs="宋体"/>
          <w:color w:val="auto"/>
          <w:szCs w:val="21"/>
        </w:rPr>
        <w:t>酸不适，嗳气、口气较重等症状的人群食用。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【材料】丝瓜150g，鹌鹑2只，葱、姜、蒜末共50g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【做法】将丝瓜去瓤切块，鹌鹑宰杀退毛去内脏，洗净。二物共入砂锅内，加水，下众调料适量，慢火炖至烂熟为度。</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【解析】丝瓜性凉味甘，有清热化痰、凉血解毒的功效。鹌鹑性平味甘，有补五脏、消结热、利九窍之功效。</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【宜忌】无</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①不可糊锅；③每日熬煮新鲜食用，不可服用隔夜汤</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香砂冲藕粉</w:t>
      </w:r>
      <w:r>
        <w:rPr>
          <w:rFonts w:hint="eastAsia" w:ascii="宋体" w:hAnsi="宋体" w:eastAsia="宋体" w:cs="宋体"/>
          <w:color w:val="auto"/>
          <w:szCs w:val="21"/>
          <w:vertAlign w:val="superscript"/>
          <w:lang w:val="en-US" w:eastAsia="zh-CN"/>
        </w:rPr>
        <w:t>[57]</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度：强推荐；共识同意率：完全同意86.36%，</w:t>
      </w:r>
      <w:r>
        <w:rPr>
          <w:rFonts w:hint="eastAsia" w:ascii="黑体" w:hAnsi="黑体" w:eastAsia="黑体" w:cs="黑体"/>
          <w:color w:val="auto"/>
          <w:kern w:val="0"/>
          <w:sz w:val="21"/>
          <w:szCs w:val="21"/>
          <w:lang w:val="en-US" w:eastAsia="zh-CN" w:bidi="ar"/>
        </w:rPr>
        <w:t>同意但保留部分意见11.36%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w:t>
      </w:r>
      <w:r>
        <w:rPr>
          <w:rFonts w:hint="eastAsia" w:ascii="Times New Roman" w:hAnsi="Times New Roman" w:eastAsia="宋体" w:cs="Times New Roman"/>
          <w:color w:val="auto"/>
        </w:rPr>
        <w:t>消化不良，不思饮食，呕吐酸水，胃脘胀满等症状的人群食用。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【材料】木香6g，砂仁3g，</w:t>
      </w:r>
      <w:r>
        <w:rPr>
          <w:rFonts w:hint="eastAsia" w:ascii="宋体" w:hAnsi="宋体" w:eastAsia="宋体" w:cs="宋体"/>
          <w:color w:val="auto"/>
          <w:szCs w:val="21"/>
          <w:lang w:val="en-US" w:eastAsia="zh-CN"/>
        </w:rPr>
        <w:t>藕粉，</w:t>
      </w:r>
      <w:r>
        <w:rPr>
          <w:rFonts w:hint="eastAsia" w:ascii="宋体" w:hAnsi="宋体" w:eastAsia="宋体" w:cs="宋体"/>
          <w:color w:val="auto"/>
          <w:szCs w:val="21"/>
        </w:rPr>
        <w:t>白糖适量</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【做法】木香洗净、切细段；砂仁，打碎，纱布包裹；以上二味加清水200m</w:t>
      </w:r>
      <w:r>
        <w:rPr>
          <w:rFonts w:ascii="宋体" w:hAnsi="宋体" w:eastAsia="宋体" w:cs="宋体"/>
          <w:color w:val="auto"/>
          <w:szCs w:val="21"/>
        </w:rPr>
        <w:t>L</w:t>
      </w:r>
      <w:r>
        <w:rPr>
          <w:rFonts w:hint="eastAsia" w:ascii="宋体" w:hAnsi="宋体" w:eastAsia="宋体" w:cs="宋体"/>
          <w:color w:val="auto"/>
          <w:szCs w:val="21"/>
        </w:rPr>
        <w:t>煎取50m</w:t>
      </w:r>
      <w:r>
        <w:rPr>
          <w:rFonts w:ascii="宋体" w:hAnsi="宋体" w:eastAsia="宋体" w:cs="宋体"/>
          <w:color w:val="auto"/>
          <w:szCs w:val="21"/>
        </w:rPr>
        <w:t>L</w:t>
      </w:r>
      <w:r>
        <w:rPr>
          <w:rFonts w:hint="eastAsia" w:ascii="宋体" w:hAnsi="宋体" w:eastAsia="宋体" w:cs="宋体"/>
          <w:color w:val="auto"/>
          <w:szCs w:val="21"/>
        </w:rPr>
        <w:t>。藕粉100g加清水煮沸，加入木香砂仁汁，搅拌均匀，白糖适量调味，温热服食。</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【解析】木香健脾消食，砂仁化湿开胃、温脾止泻，藕清热生津。</w:t>
      </w:r>
    </w:p>
    <w:p>
      <w:pPr>
        <w:pStyle w:val="2"/>
        <w:keepLines w:val="0"/>
        <w:pageBreakBefore w:val="0"/>
        <w:kinsoku/>
        <w:overflowPunct/>
        <w:topLinePunct w:val="0"/>
        <w:bidi w:val="0"/>
        <w:adjustRightInd/>
        <w:spacing w:line="360" w:lineRule="exact"/>
        <w:ind w:firstLine="420" w:firstLineChars="200"/>
        <w:rPr>
          <w:rFonts w:hint="eastAsia" w:eastAsiaTheme="minorEastAsia"/>
          <w:color w:val="auto"/>
          <w:lang w:eastAsia="zh-CN"/>
        </w:rPr>
      </w:pPr>
      <w:r>
        <w:rPr>
          <w:rFonts w:hint="eastAsia"/>
          <w:color w:val="auto"/>
        </w:rPr>
        <w:t>【宜忌】阴虚火旺者慎用，中病即止，不可久用</w:t>
      </w:r>
      <w:r>
        <w:rPr>
          <w:rFonts w:hint="eastAsia"/>
          <w:color w:val="auto"/>
          <w:lang w:eastAsia="zh-CN"/>
        </w:rPr>
        <w:t>。</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①稀稠适宜；②不可糊锅；③每日熬煮新鲜食用，不可服用隔夜藕粉粥</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贝母梨</w:t>
      </w:r>
      <w:r>
        <w:rPr>
          <w:rFonts w:hint="eastAsia" w:ascii="宋体" w:hAnsi="宋体" w:eastAsia="宋体" w:cs="宋体"/>
          <w:color w:val="auto"/>
          <w:szCs w:val="21"/>
          <w:vertAlign w:val="superscript"/>
          <w:lang w:val="en-US" w:eastAsia="zh-CN"/>
        </w:rPr>
        <w:t>[58]</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度：强推荐；共识同意率：完全同意84.44%，</w:t>
      </w:r>
      <w:r>
        <w:rPr>
          <w:rFonts w:hint="eastAsia" w:ascii="黑体" w:hAnsi="黑体" w:eastAsia="黑体" w:cs="黑体"/>
          <w:color w:val="auto"/>
          <w:kern w:val="0"/>
          <w:sz w:val="21"/>
          <w:szCs w:val="21"/>
          <w:lang w:val="en-US" w:eastAsia="zh-CN" w:bidi="ar"/>
        </w:rPr>
        <w:t>同意但保留部分意见13.33%</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适用于食管癌前病变表现有：胸骨后灼热不舒，进热食时加重，心烦口渴</w:t>
      </w:r>
      <w:r>
        <w:rPr>
          <w:rFonts w:ascii="Times New Roman" w:hAnsi="Times New Roman" w:eastAsia="宋体" w:cs="Times New Roman"/>
          <w:color w:val="auto"/>
        </w:rPr>
        <w:t>等症状</w:t>
      </w:r>
      <w:r>
        <w:rPr>
          <w:rFonts w:hint="eastAsia" w:ascii="Times New Roman" w:hAnsi="Times New Roman" w:eastAsia="宋体" w:cs="Times New Roman"/>
          <w:color w:val="auto"/>
        </w:rPr>
        <w:t>或长期大量饮酒、湿热体质的人群食用。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【材料】梨3个，贝母15g，黑糖3汤匙</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【做法】将梨洗净后，在其上1</w:t>
      </w:r>
      <w:r>
        <w:rPr>
          <w:rFonts w:ascii="宋体" w:hAnsi="宋体" w:eastAsia="宋体" w:cs="宋体"/>
          <w:color w:val="auto"/>
          <w:szCs w:val="21"/>
        </w:rPr>
        <w:t>/4</w:t>
      </w:r>
      <w:r>
        <w:rPr>
          <w:rFonts w:hint="eastAsia" w:ascii="宋体" w:hAnsi="宋体" w:eastAsia="宋体" w:cs="宋体"/>
          <w:color w:val="auto"/>
          <w:szCs w:val="21"/>
        </w:rPr>
        <w:t>处横切开，上部分做盖，将梨核挖去，待用。随后将贝母磨成粉末，放入三个梨盅，撒上黑糖，盖上梨盖。将贝母梨放入蒸锅，用旺火蒸1</w:t>
      </w:r>
      <w:r>
        <w:rPr>
          <w:rFonts w:hint="eastAsia" w:ascii="宋体" w:hAnsi="宋体" w:eastAsia="宋体" w:cs="宋体"/>
          <w:color w:val="auto"/>
          <w:szCs w:val="21"/>
          <w:lang w:val="en-US" w:eastAsia="zh-CN"/>
        </w:rPr>
        <w:t>小时</w:t>
      </w:r>
      <w:r>
        <w:rPr>
          <w:rFonts w:hint="eastAsia" w:ascii="宋体" w:hAnsi="宋体" w:eastAsia="宋体" w:cs="宋体"/>
          <w:color w:val="auto"/>
          <w:szCs w:val="21"/>
        </w:rPr>
        <w:t>取出，梨汁和果实一齐食用。</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【方解】贝母润肺止咳、清热散结，梨子润肺化痰、清心止咳。</w:t>
      </w:r>
    </w:p>
    <w:p>
      <w:pPr>
        <w:pStyle w:val="2"/>
        <w:keepLines w:val="0"/>
        <w:pageBreakBefore w:val="0"/>
        <w:kinsoku/>
        <w:overflowPunct/>
        <w:topLinePunct w:val="0"/>
        <w:bidi w:val="0"/>
        <w:adjustRightInd/>
        <w:spacing w:line="360" w:lineRule="exact"/>
        <w:ind w:firstLine="420" w:firstLineChars="200"/>
        <w:rPr>
          <w:rFonts w:hint="default" w:eastAsiaTheme="minorEastAsia"/>
          <w:color w:val="auto"/>
          <w:lang w:val="en-US" w:eastAsia="zh-CN"/>
        </w:rPr>
      </w:pPr>
      <w:r>
        <w:rPr>
          <w:rFonts w:hint="eastAsia"/>
          <w:color w:val="auto"/>
        </w:rPr>
        <w:t>【宜忌】素体热盛、心烦口渴者宜选用浙贝母；年老体弱可选用川贝母</w:t>
      </w:r>
      <w:r>
        <w:rPr>
          <w:rFonts w:hint="eastAsia"/>
          <w:color w:val="auto"/>
          <w:lang w:eastAsia="zh-CN"/>
        </w:rPr>
        <w:t>；</w:t>
      </w:r>
      <w:r>
        <w:rPr>
          <w:rFonts w:hint="eastAsia"/>
          <w:color w:val="auto"/>
          <w:lang w:val="en-US" w:eastAsia="zh-CN"/>
        </w:rPr>
        <w:t>糖尿病患者慎用。</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每日制作新鲜食用，不可服用隔</w:t>
      </w:r>
      <w:r>
        <w:rPr>
          <w:rFonts w:hint="eastAsia" w:ascii="宋体" w:hAnsi="宋体" w:eastAsia="宋体" w:cs="宋体"/>
          <w:color w:val="auto"/>
          <w:lang w:val="en-US" w:eastAsia="zh-CN"/>
        </w:rPr>
        <w:t>夜</w:t>
      </w:r>
      <w:r>
        <w:rPr>
          <w:rFonts w:hint="eastAsia" w:ascii="宋体" w:hAnsi="宋体" w:eastAsia="宋体" w:cs="宋体"/>
          <w:color w:val="auto"/>
          <w:szCs w:val="21"/>
        </w:rPr>
        <w:t>贝母梨</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莴苣三鲜汤</w:t>
      </w:r>
      <w:r>
        <w:rPr>
          <w:rFonts w:hint="eastAsia" w:ascii="宋体" w:hAnsi="宋体" w:eastAsia="宋体" w:cs="宋体"/>
          <w:color w:val="auto"/>
          <w:szCs w:val="21"/>
          <w:vertAlign w:val="superscript"/>
          <w:lang w:val="en-US" w:eastAsia="zh-CN"/>
        </w:rPr>
        <w:t>[59]</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度：强推荐；共识同意率：完全同意86.36%，</w:t>
      </w:r>
      <w:r>
        <w:rPr>
          <w:rFonts w:hint="eastAsia" w:ascii="黑体" w:hAnsi="黑体" w:eastAsia="黑体" w:cs="黑体"/>
          <w:color w:val="auto"/>
          <w:kern w:val="0"/>
          <w:sz w:val="21"/>
          <w:szCs w:val="21"/>
          <w:lang w:val="en-US" w:eastAsia="zh-CN" w:bidi="ar"/>
        </w:rPr>
        <w:t>同意但保留部分意见11.36%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w:t>
      </w:r>
      <w:r>
        <w:rPr>
          <w:rFonts w:ascii="Times New Roman" w:hAnsi="Times New Roman" w:eastAsia="宋体" w:cs="Times New Roman"/>
          <w:color w:val="auto"/>
        </w:rPr>
        <w:t>嗳气、呃逆，</w:t>
      </w:r>
      <w:r>
        <w:rPr>
          <w:rFonts w:hint="eastAsia" w:ascii="Times New Roman" w:hAnsi="Times New Roman" w:eastAsia="宋体" w:cs="Times New Roman"/>
          <w:color w:val="auto"/>
        </w:rPr>
        <w:t>口疮，</w:t>
      </w:r>
      <w:r>
        <w:rPr>
          <w:rFonts w:ascii="Times New Roman" w:hAnsi="Times New Roman" w:eastAsia="宋体" w:cs="Times New Roman"/>
          <w:color w:val="auto"/>
        </w:rPr>
        <w:t>舌红苔黄等症状的</w:t>
      </w:r>
      <w:r>
        <w:rPr>
          <w:rFonts w:hint="eastAsia" w:ascii="Times New Roman" w:hAnsi="Times New Roman" w:eastAsia="宋体" w:cs="Times New Roman"/>
          <w:color w:val="auto"/>
        </w:rPr>
        <w:t>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【材料】莴苣25g，核桃仁25g，鸡脯肉50g，高汤750g，蛋清半个</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【做法】鸡脯肉、莴苣均切片。鸡肉片放碗中，加蛋清、淀粉、盐抓匀，过沸水后捞出备用。莴苣片和核桃仁焯水，与鸡肉一起放入汤碗中，浇入烧开后的高汤即可。</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【方解】莴苣清热解毒，合核桃仁、鸡肉，有开膈降热，滋补五脏的作用。</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【宜忌】无</w:t>
      </w:r>
    </w:p>
    <w:p>
      <w:pPr>
        <w:pStyle w:val="2"/>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rPr>
      </w:pPr>
      <w:r>
        <w:rPr>
          <w:rFonts w:hint="eastAsia"/>
          <w:color w:val="auto"/>
        </w:rPr>
        <w:t>【制作要求】</w:t>
      </w:r>
      <w:r>
        <w:rPr>
          <w:rFonts w:hint="eastAsia"/>
          <w:color w:val="auto"/>
          <w:lang w:val="en-US" w:eastAsia="zh-CN"/>
        </w:rPr>
        <w:t>①稀稠适宜；②不可糊锅；③每日熬煮新鲜食用，不可服用</w:t>
      </w:r>
      <w:r>
        <w:rPr>
          <w:rFonts w:hint="eastAsia" w:ascii="宋体" w:hAnsi="宋体" w:eastAsia="宋体" w:cs="宋体"/>
          <w:color w:val="auto"/>
          <w:lang w:val="en-US" w:eastAsia="zh-CN"/>
        </w:rPr>
        <w:t>隔夜</w:t>
      </w:r>
      <w:r>
        <w:rPr>
          <w:rFonts w:hint="eastAsia" w:ascii="宋体" w:hAnsi="宋体" w:eastAsia="宋体" w:cs="宋体"/>
          <w:color w:val="auto"/>
          <w:szCs w:val="21"/>
        </w:rPr>
        <w:t>汤</w:t>
      </w:r>
      <w:r>
        <w:rPr>
          <w:rFonts w:hint="eastAsia" w:ascii="宋体" w:hAnsi="宋体" w:eastAsia="宋体" w:cs="宋体"/>
          <w:color w:val="auto"/>
        </w:rPr>
        <w:t>。</w:t>
      </w:r>
    </w:p>
    <w:p>
      <w:pPr>
        <w:keepLines w:val="0"/>
        <w:pageBreakBefore w:val="0"/>
        <w:kinsoku/>
        <w:overflowPunct/>
        <w:topLinePunct w:val="0"/>
        <w:bidi w:val="0"/>
        <w:adjustRightInd/>
        <w:spacing w:line="360" w:lineRule="exact"/>
        <w:rPr>
          <w:rFonts w:ascii="黑体" w:hAnsi="黑体" w:eastAsia="黑体" w:cs="黑体"/>
          <w:color w:val="auto"/>
          <w:szCs w:val="21"/>
        </w:rPr>
      </w:pPr>
      <w:r>
        <w:rPr>
          <w:rFonts w:hint="eastAsia" w:ascii="黑体" w:hAnsi="黑体" w:eastAsia="黑体" w:cs="黑体"/>
          <w:color w:val="auto"/>
          <w:szCs w:val="21"/>
        </w:rPr>
        <w:t>3）脾胃虚弱，痰瘀互结证</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rPr>
      </w:pPr>
      <w:r>
        <w:rPr>
          <w:rFonts w:hint="eastAsia" w:ascii="黑体" w:hAnsi="黑体" w:eastAsia="黑体" w:cs="黑体"/>
          <w:color w:val="auto"/>
          <w:szCs w:val="21"/>
        </w:rPr>
        <w:t>砂锅鱼头</w:t>
      </w:r>
      <w:r>
        <w:rPr>
          <w:rFonts w:hint="eastAsia" w:ascii="宋体" w:hAnsi="宋体" w:eastAsia="宋体" w:cs="宋体"/>
          <w:color w:val="auto"/>
          <w:szCs w:val="21"/>
          <w:vertAlign w:val="superscript"/>
          <w:lang w:val="en-US" w:eastAsia="zh-CN"/>
        </w:rPr>
        <w:t>[60]</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度：强推荐；共识同意率：完全同意86.67%，</w:t>
      </w:r>
      <w:r>
        <w:rPr>
          <w:rFonts w:hint="eastAsia" w:ascii="黑体" w:hAnsi="黑体" w:eastAsia="黑体" w:cs="黑体"/>
          <w:color w:val="auto"/>
          <w:kern w:val="0"/>
          <w:sz w:val="21"/>
          <w:szCs w:val="21"/>
          <w:lang w:val="en-US" w:eastAsia="zh-CN" w:bidi="ar"/>
        </w:rPr>
        <w:t>同意但保留部分意见13.33%</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适用于食管癌前病变表现有：食欲不振，少气懒言、神疲乏力，时有嗳气或呃逆，面色萎黄，身体消瘦，面浮足肿等症状的人群食用。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【材料】活鲤鱼头、尾各1个</w:t>
      </w:r>
      <w:r>
        <w:rPr>
          <w:rFonts w:hint="eastAsia" w:ascii="宋体" w:hAnsi="宋体" w:eastAsia="宋体" w:cs="宋体"/>
          <w:color w:val="auto"/>
          <w:szCs w:val="21"/>
          <w:lang w:eastAsia="zh-CN"/>
        </w:rPr>
        <w:t>（</w:t>
      </w:r>
      <w:r>
        <w:rPr>
          <w:rFonts w:hint="eastAsia" w:ascii="宋体" w:hAnsi="宋体" w:eastAsia="宋体" w:cs="宋体"/>
          <w:color w:val="auto"/>
          <w:szCs w:val="21"/>
        </w:rPr>
        <w:t>250g</w:t>
      </w:r>
      <w:r>
        <w:rPr>
          <w:rFonts w:hint="eastAsia" w:ascii="宋体" w:hAnsi="宋体" w:eastAsia="宋体" w:cs="宋体"/>
          <w:color w:val="auto"/>
          <w:szCs w:val="21"/>
          <w:lang w:eastAsia="zh-CN"/>
        </w:rPr>
        <w:t>），</w:t>
      </w:r>
      <w:r>
        <w:rPr>
          <w:rFonts w:hint="eastAsia" w:ascii="宋体" w:hAnsi="宋体" w:eastAsia="宋体" w:cs="宋体"/>
          <w:color w:val="auto"/>
          <w:szCs w:val="21"/>
        </w:rPr>
        <w:t>核桃25g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【做法】将活鲤鱼处理干净，切成较大的鱼块，核桃洗净备用。炒锅置旺火上，下油烧热，投入鱼头、鱼尾，两面煎透，放入</w:t>
      </w:r>
      <w:r>
        <w:rPr>
          <w:rFonts w:hint="eastAsia" w:ascii="宋体" w:hAnsi="宋体" w:eastAsia="宋体" w:cs="宋体"/>
          <w:color w:val="auto"/>
          <w:szCs w:val="21"/>
          <w:lang w:val="en-US" w:eastAsia="zh-CN"/>
        </w:rPr>
        <w:t>砂</w:t>
      </w:r>
      <w:r>
        <w:rPr>
          <w:rFonts w:hint="eastAsia" w:ascii="宋体" w:hAnsi="宋体" w:eastAsia="宋体" w:cs="宋体"/>
          <w:color w:val="auto"/>
          <w:szCs w:val="21"/>
        </w:rPr>
        <w:t>锅内，加入核桃，加盖转微火烧熟，最后下入鲜牛奶，烧沸后撒上葱花即可。</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【解析】鲤鱼健脾养肺，核桃养肾、补阳。</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【宜忌】无</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ascii="宋体" w:hAnsi="宋体" w:eastAsia="宋体" w:cs="宋体"/>
          <w:color w:val="auto"/>
        </w:rPr>
        <w:t>】</w:t>
      </w:r>
      <w:r>
        <w:rPr>
          <w:rFonts w:hint="eastAsia" w:ascii="宋体" w:hAnsi="宋体" w:eastAsia="宋体" w:cs="宋体"/>
          <w:color w:val="auto"/>
          <w:lang w:val="en-US" w:eastAsia="zh-CN"/>
        </w:rPr>
        <w:t>每日熬煮新鲜食用，不可服用隔夜</w:t>
      </w:r>
      <w:r>
        <w:rPr>
          <w:rFonts w:hint="eastAsia" w:hAnsi="宋体" w:eastAsia="宋体" w:cs="宋体"/>
          <w:color w:val="auto"/>
          <w:szCs w:val="21"/>
          <w:lang w:val="en-US" w:eastAsia="zh-CN"/>
        </w:rPr>
        <w:t>砂锅鱼头</w:t>
      </w:r>
      <w:r>
        <w:rPr>
          <w:rFonts w:hint="eastAsia" w:ascii="宋体" w:hAnsi="宋体" w:eastAsia="宋体" w:cs="宋体"/>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香菇青鱼</w:t>
      </w:r>
      <w:r>
        <w:rPr>
          <w:rFonts w:hint="eastAsia" w:ascii="宋体" w:hAnsi="宋体" w:eastAsia="宋体" w:cs="宋体"/>
          <w:color w:val="auto"/>
          <w:szCs w:val="21"/>
          <w:vertAlign w:val="superscript"/>
          <w:lang w:val="en-US" w:eastAsia="zh-CN"/>
        </w:rPr>
        <w:t>[56]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度：强推荐；共识同意率：完全同意88.64%，</w:t>
      </w:r>
      <w:r>
        <w:rPr>
          <w:rFonts w:hint="eastAsia" w:ascii="黑体" w:hAnsi="黑体" w:eastAsia="黑体" w:cs="黑体"/>
          <w:color w:val="auto"/>
          <w:kern w:val="0"/>
          <w:sz w:val="21"/>
          <w:szCs w:val="21"/>
          <w:lang w:val="en-US" w:eastAsia="zh-CN" w:bidi="ar"/>
        </w:rPr>
        <w:t>同意但保留部分意见9.09%</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w:t>
      </w:r>
      <w:r>
        <w:rPr>
          <w:rFonts w:hint="eastAsia" w:ascii="Times New Roman" w:hAnsi="Times New Roman" w:eastAsia="宋体" w:cs="Times New Roman"/>
          <w:color w:val="auto"/>
        </w:rPr>
        <w:t>神疲</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乏力</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纳差</w:t>
      </w:r>
      <w:r>
        <w:rPr>
          <w:rFonts w:hint="eastAsia" w:ascii="Times New Roman" w:hAnsi="Times New Roman" w:eastAsia="宋体" w:cs="Times New Roman"/>
          <w:color w:val="auto"/>
        </w:rPr>
        <w:t>等症状或素体虚弱的人群食用。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【材料】香菇30g，青鱼1条（约300g），香菜30g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【做法】将香菇用温水浸泡发开，洗净去根蒂；青鱼去鳃，剖腹去内脏，洗净切块；香</w:t>
      </w:r>
    </w:p>
    <w:p>
      <w:pPr>
        <w:keepLines w:val="0"/>
        <w:pageBreakBefore w:val="0"/>
        <w:kinsoku/>
        <w:overflowPunct/>
        <w:topLinePunct w:val="0"/>
        <w:bidi w:val="0"/>
        <w:adjustRightInd/>
        <w:spacing w:line="360" w:lineRule="exact"/>
        <w:rPr>
          <w:rFonts w:ascii="宋体" w:hAnsi="宋体" w:eastAsia="宋体" w:cs="宋体"/>
          <w:color w:val="auto"/>
          <w:szCs w:val="21"/>
        </w:rPr>
      </w:pPr>
      <w:r>
        <w:rPr>
          <w:rFonts w:hint="eastAsia" w:ascii="宋体" w:hAnsi="宋体" w:eastAsia="宋体" w:cs="宋体"/>
          <w:color w:val="auto"/>
          <w:szCs w:val="21"/>
        </w:rPr>
        <w:t>菜洗净切细段。先将锅内食油烧热，下青鱼、香菇，加盐、酱油、葱、姜、蒜等调料共炒片刻，加水适量，煮至鱼菇熟透，离火，放入香菜即可。</w:t>
      </w:r>
    </w:p>
    <w:p>
      <w:pPr>
        <w:keepLines w:val="0"/>
        <w:pageBreakBefore w:val="0"/>
        <w:kinsoku/>
        <w:overflowPunct/>
        <w:topLinePunct w:val="0"/>
        <w:bidi w:val="0"/>
        <w:adjustRightInd/>
        <w:spacing w:line="360" w:lineRule="exact"/>
        <w:ind w:firstLine="420" w:firstLineChars="200"/>
        <w:rPr>
          <w:rFonts w:hint="default" w:ascii="宋体" w:hAnsi="宋体" w:eastAsia="宋体" w:cs="宋体"/>
          <w:color w:val="auto"/>
          <w:szCs w:val="21"/>
          <w:lang w:val="en-US" w:eastAsia="zh-CN"/>
        </w:rPr>
      </w:pPr>
      <w:r>
        <w:rPr>
          <w:rFonts w:hint="eastAsia" w:ascii="宋体" w:hAnsi="宋体" w:eastAsia="宋体" w:cs="宋体"/>
          <w:color w:val="auto"/>
          <w:szCs w:val="21"/>
        </w:rPr>
        <w:t>【解析】香菇性平味甘，益气助食</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青鱼肉益气补虚、健脾养胃。</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【宜忌】无</w:t>
      </w:r>
    </w:p>
    <w:p>
      <w:pPr>
        <w:pStyle w:val="2"/>
        <w:keepLines w:val="0"/>
        <w:pageBreakBefore w:val="0"/>
        <w:kinsoku/>
        <w:overflowPunct/>
        <w:topLinePunct w:val="0"/>
        <w:bidi w:val="0"/>
        <w:adjustRightInd/>
        <w:spacing w:line="360" w:lineRule="exact"/>
        <w:ind w:firstLine="420" w:firstLineChars="200"/>
        <w:rPr>
          <w:rFonts w:hint="eastAsia"/>
          <w:color w:val="auto"/>
        </w:rPr>
      </w:pPr>
      <w:r>
        <w:rPr>
          <w:rFonts w:hint="eastAsia"/>
          <w:color w:val="auto"/>
        </w:rPr>
        <w:t>【制作</w:t>
      </w:r>
      <w:r>
        <w:rPr>
          <w:rFonts w:hint="eastAsia" w:ascii="宋体" w:hAnsi="宋体" w:eastAsia="宋体" w:cs="宋体"/>
          <w:color w:val="auto"/>
        </w:rPr>
        <w:t>要求】</w:t>
      </w:r>
      <w:r>
        <w:rPr>
          <w:rFonts w:hint="eastAsia" w:ascii="宋体" w:hAnsi="宋体" w:eastAsia="宋体" w:cs="宋体"/>
          <w:color w:val="auto"/>
          <w:lang w:val="en-US" w:eastAsia="zh-CN"/>
        </w:rPr>
        <w:t>每日熬煮新鲜食用，不可服用隔夜</w:t>
      </w:r>
      <w:r>
        <w:rPr>
          <w:rFonts w:hint="eastAsia" w:hAnsi="宋体" w:eastAsia="宋体" w:cs="宋体"/>
          <w:color w:val="auto"/>
          <w:lang w:val="en-US" w:eastAsia="zh-CN"/>
        </w:rPr>
        <w:t>食物</w:t>
      </w:r>
      <w:r>
        <w:rPr>
          <w:rFonts w:hint="eastAsia" w:ascii="宋体" w:hAnsi="宋体" w:eastAsia="宋体" w:cs="宋体"/>
          <w:color w:val="auto"/>
        </w:rPr>
        <w:t>。</w:t>
      </w:r>
    </w:p>
    <w:p>
      <w:pPr>
        <w:pStyle w:val="2"/>
        <w:keepLines w:val="0"/>
        <w:pageBreakBefore w:val="0"/>
        <w:kinsoku/>
        <w:overflowPunct/>
        <w:topLinePunct w:val="0"/>
        <w:bidi w:val="0"/>
        <w:adjustRightInd/>
        <w:spacing w:line="360" w:lineRule="exact"/>
        <w:ind w:firstLine="420" w:firstLineChars="200"/>
        <w:rPr>
          <w:color w:val="auto"/>
        </w:rPr>
      </w:pPr>
      <w:r>
        <w:rPr>
          <w:rFonts w:hint="eastAsia" w:ascii="黑体" w:hAnsi="黑体" w:eastAsia="黑体" w:cs="黑体"/>
          <w:color w:val="auto"/>
          <w:szCs w:val="21"/>
        </w:rPr>
        <w:t>山楂桃仁饮</w:t>
      </w:r>
      <w:r>
        <w:rPr>
          <w:rFonts w:hint="eastAsia" w:ascii="宋体" w:hAnsi="宋体" w:eastAsia="宋体" w:cs="宋体"/>
          <w:color w:val="auto"/>
          <w:szCs w:val="21"/>
          <w:vertAlign w:val="superscript"/>
          <w:lang w:val="en-US" w:eastAsia="zh-CN"/>
        </w:rPr>
        <w:t>[6</w:t>
      </w:r>
      <w:r>
        <w:rPr>
          <w:rFonts w:hint="eastAsia" w:hAnsi="宋体" w:eastAsia="宋体" w:cs="宋体"/>
          <w:color w:val="auto"/>
          <w:szCs w:val="21"/>
          <w:vertAlign w:val="superscript"/>
          <w:lang w:val="en-US" w:eastAsia="zh-CN"/>
        </w:rPr>
        <w:t>1</w:t>
      </w:r>
      <w:r>
        <w:rPr>
          <w:rFonts w:hint="eastAsia" w:ascii="宋体" w:hAnsi="宋体" w:eastAsia="宋体" w:cs="宋体"/>
          <w:color w:val="auto"/>
          <w:szCs w:val="21"/>
          <w:vertAlign w:val="superscript"/>
          <w:lang w:val="en-US" w:eastAsia="zh-CN"/>
        </w:rPr>
        <w:t>]</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度：强推荐；共识同意率：完全同意86.67%，</w:t>
      </w:r>
      <w:r>
        <w:rPr>
          <w:rFonts w:hint="eastAsia" w:ascii="黑体" w:hAnsi="黑体" w:eastAsia="黑体" w:cs="黑体"/>
          <w:color w:val="auto"/>
          <w:kern w:val="0"/>
          <w:sz w:val="21"/>
          <w:szCs w:val="21"/>
          <w:lang w:val="en-US" w:eastAsia="zh-CN" w:bidi="ar"/>
        </w:rPr>
        <w:t>同意但保留部分意见13.33%</w:t>
      </w:r>
      <w:r>
        <w:rPr>
          <w:rFonts w:hint="eastAsia" w:ascii="黑体" w:hAnsi="黑体" w:eastAsia="黑体" w:cs="黑体"/>
          <w:b w:val="0"/>
          <w:bCs w:val="0"/>
          <w:color w:val="auto"/>
          <w:kern w:val="2"/>
          <w:sz w:val="21"/>
          <w:szCs w:val="21"/>
          <w:lang w:val="en-US" w:eastAsia="zh-CN" w:bidi="ar-SA"/>
        </w:rPr>
        <w:t>）</w:t>
      </w:r>
      <w:r>
        <w:rPr>
          <w:rFonts w:hint="eastAsia" w:hAnsi="宋体" w:eastAsia="宋体" w:cs="宋体"/>
          <w:color w:val="auto"/>
          <w:szCs w:val="21"/>
        </w:rPr>
        <w:t>：适用于食管癌前病变表现有：食积停滞，消化不良，脘腹胀满，嗳腐吞酸，不思饮食</w:t>
      </w:r>
      <w:r>
        <w:rPr>
          <w:rFonts w:hint="eastAsia" w:hAnsi="宋体" w:eastAsia="宋体" w:cs="宋体"/>
          <w:color w:val="auto"/>
          <w:szCs w:val="21"/>
          <w:lang w:val="en-US" w:eastAsia="zh-CN"/>
        </w:rPr>
        <w:t>等症状的人群食用</w:t>
      </w:r>
      <w:r>
        <w:rPr>
          <w:rFonts w:hint="eastAsia"/>
          <w:color w:val="auto"/>
        </w:rPr>
        <w:t>。每日2次，每次1汤匙。</w:t>
      </w:r>
    </w:p>
    <w:p>
      <w:pPr>
        <w:pStyle w:val="2"/>
        <w:keepLines w:val="0"/>
        <w:pageBreakBefore w:val="0"/>
        <w:kinsoku/>
        <w:overflowPunct/>
        <w:topLinePunct w:val="0"/>
        <w:bidi w:val="0"/>
        <w:adjustRightInd/>
        <w:spacing w:line="360" w:lineRule="exact"/>
        <w:ind w:firstLine="420" w:firstLineChars="200"/>
        <w:rPr>
          <w:rFonts w:hAnsi="宋体" w:eastAsia="宋体" w:cs="宋体"/>
          <w:color w:val="auto"/>
          <w:szCs w:val="21"/>
        </w:rPr>
      </w:pPr>
      <w:r>
        <w:rPr>
          <w:rFonts w:hint="eastAsia" w:hAnsi="宋体" w:eastAsia="宋体" w:cs="宋体"/>
          <w:color w:val="auto"/>
          <w:szCs w:val="21"/>
        </w:rPr>
        <w:t>【材料】鲜山楂500g，桃仁100g，蜂蜜250m</w:t>
      </w:r>
      <w:r>
        <w:rPr>
          <w:rFonts w:hAnsi="宋体" w:eastAsia="宋体" w:cs="宋体"/>
          <w:color w:val="auto"/>
          <w:szCs w:val="21"/>
        </w:rPr>
        <w:t>L</w:t>
      </w:r>
    </w:p>
    <w:p>
      <w:pPr>
        <w:pStyle w:val="2"/>
        <w:keepLines w:val="0"/>
        <w:pageBreakBefore w:val="0"/>
        <w:kinsoku/>
        <w:overflowPunct/>
        <w:topLinePunct w:val="0"/>
        <w:bidi w:val="0"/>
        <w:adjustRightInd/>
        <w:spacing w:line="360" w:lineRule="exact"/>
        <w:ind w:firstLine="420" w:firstLineChars="200"/>
        <w:rPr>
          <w:rFonts w:hAnsi="宋体" w:eastAsia="宋体" w:cs="宋体"/>
          <w:color w:val="auto"/>
          <w:szCs w:val="21"/>
        </w:rPr>
      </w:pPr>
      <w:r>
        <w:rPr>
          <w:rFonts w:hint="eastAsia" w:hAnsi="宋体" w:eastAsia="宋体" w:cs="宋体"/>
          <w:color w:val="auto"/>
          <w:szCs w:val="21"/>
        </w:rPr>
        <w:t>【做法】山楂洗净</w:t>
      </w:r>
      <w:r>
        <w:rPr>
          <w:rFonts w:hint="eastAsia" w:hAnsi="宋体" w:eastAsia="宋体" w:cs="宋体"/>
          <w:color w:val="auto"/>
          <w:szCs w:val="21"/>
          <w:lang w:eastAsia="zh-CN"/>
        </w:rPr>
        <w:t>，</w:t>
      </w:r>
      <w:r>
        <w:rPr>
          <w:rFonts w:hint="eastAsia" w:hAnsi="宋体" w:eastAsia="宋体" w:cs="宋体"/>
          <w:color w:val="auto"/>
          <w:szCs w:val="21"/>
        </w:rPr>
        <w:t>切碎与桃仁一同放入砂锅内，加入适量水，大火煮沸后，改用小火煮30</w:t>
      </w:r>
      <w:r>
        <w:rPr>
          <w:rFonts w:hint="eastAsia" w:hAnsi="宋体" w:eastAsia="宋体" w:cs="宋体"/>
          <w:color w:val="auto"/>
          <w:szCs w:val="21"/>
          <w:lang w:val="en-US" w:eastAsia="zh-CN"/>
        </w:rPr>
        <w:t>分钟</w:t>
      </w:r>
      <w:r>
        <w:rPr>
          <w:rFonts w:hint="eastAsia" w:hAnsi="宋体" w:eastAsia="宋体" w:cs="宋体"/>
          <w:color w:val="auto"/>
          <w:szCs w:val="21"/>
        </w:rPr>
        <w:t>，滤出头汁，</w:t>
      </w:r>
      <w:r>
        <w:rPr>
          <w:rFonts w:hint="eastAsia" w:hAnsi="宋体" w:eastAsia="宋体" w:cs="宋体"/>
          <w:color w:val="auto"/>
          <w:szCs w:val="21"/>
          <w:lang w:val="en-US" w:eastAsia="zh-CN"/>
        </w:rPr>
        <w:t>再</w:t>
      </w:r>
      <w:r>
        <w:rPr>
          <w:rFonts w:hint="eastAsia" w:hAnsi="宋体" w:eastAsia="宋体" w:cs="宋体"/>
          <w:color w:val="auto"/>
          <w:szCs w:val="21"/>
        </w:rPr>
        <w:t>加适量水煮30</w:t>
      </w:r>
      <w:r>
        <w:rPr>
          <w:rFonts w:hint="eastAsia" w:hAnsi="宋体" w:eastAsia="宋体" w:cs="宋体"/>
          <w:color w:val="auto"/>
          <w:szCs w:val="21"/>
          <w:lang w:val="en-US" w:eastAsia="zh-CN"/>
        </w:rPr>
        <w:t>分钟</w:t>
      </w:r>
      <w:r>
        <w:rPr>
          <w:rFonts w:hint="eastAsia" w:hAnsi="宋体" w:eastAsia="宋体" w:cs="宋体"/>
          <w:color w:val="auto"/>
          <w:szCs w:val="21"/>
        </w:rPr>
        <w:t>，滤除二汁，去药渣；将两次汤汁混合后，加入蜂蜜适量，再隔水蒸1</w:t>
      </w:r>
      <w:r>
        <w:rPr>
          <w:rFonts w:hint="eastAsia" w:hAnsi="宋体" w:eastAsia="宋体" w:cs="宋体"/>
          <w:color w:val="auto"/>
          <w:szCs w:val="21"/>
          <w:lang w:val="en-US" w:eastAsia="zh-CN"/>
        </w:rPr>
        <w:t>小时</w:t>
      </w:r>
      <w:r>
        <w:rPr>
          <w:rFonts w:hint="eastAsia" w:hAnsi="宋体" w:eastAsia="宋体" w:cs="宋体"/>
          <w:color w:val="auto"/>
          <w:szCs w:val="21"/>
        </w:rPr>
        <w:t>，冷却后装瓶冷藏备用。</w:t>
      </w:r>
    </w:p>
    <w:p>
      <w:pPr>
        <w:pStyle w:val="2"/>
        <w:keepLines w:val="0"/>
        <w:pageBreakBefore w:val="0"/>
        <w:kinsoku/>
        <w:overflowPunct/>
        <w:topLinePunct w:val="0"/>
        <w:bidi w:val="0"/>
        <w:adjustRightInd/>
        <w:spacing w:line="360" w:lineRule="exact"/>
        <w:ind w:firstLine="420" w:firstLineChars="200"/>
        <w:rPr>
          <w:rFonts w:hAnsi="宋体" w:eastAsia="宋体" w:cs="宋体"/>
          <w:color w:val="auto"/>
          <w:szCs w:val="21"/>
        </w:rPr>
      </w:pPr>
      <w:r>
        <w:rPr>
          <w:rFonts w:hint="eastAsia" w:hAnsi="宋体" w:eastAsia="宋体" w:cs="宋体"/>
          <w:color w:val="auto"/>
          <w:szCs w:val="21"/>
        </w:rPr>
        <w:t>【解析】桃仁活血化瘀，山楂健胃消食，蜂蜜润肠通便。</w:t>
      </w:r>
    </w:p>
    <w:p>
      <w:pPr>
        <w:pStyle w:val="2"/>
        <w:keepLines w:val="0"/>
        <w:pageBreakBefore w:val="0"/>
        <w:kinsoku/>
        <w:overflowPunct/>
        <w:topLinePunct w:val="0"/>
        <w:bidi w:val="0"/>
        <w:adjustRightInd/>
        <w:spacing w:line="360" w:lineRule="exact"/>
        <w:ind w:firstLine="420" w:firstLineChars="200"/>
        <w:rPr>
          <w:rFonts w:hAnsi="宋体" w:eastAsia="宋体" w:cs="宋体"/>
          <w:color w:val="auto"/>
          <w:szCs w:val="21"/>
        </w:rPr>
      </w:pPr>
      <w:r>
        <w:rPr>
          <w:rFonts w:hint="eastAsia" w:hAnsi="宋体" w:eastAsia="宋体" w:cs="宋体"/>
          <w:color w:val="auto"/>
          <w:szCs w:val="21"/>
        </w:rPr>
        <w:t>【宜忌】无</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①不可糊锅；②低温保存</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4）胃阴亏虚，食管失濡证</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rPr>
      </w:pPr>
      <w:r>
        <w:rPr>
          <w:rFonts w:hint="eastAsia" w:ascii="黑体" w:hAnsi="黑体" w:eastAsia="黑体" w:cs="黑体"/>
          <w:color w:val="auto"/>
          <w:szCs w:val="21"/>
        </w:rPr>
        <w:t>百合兔肉煲</w:t>
      </w:r>
      <w:r>
        <w:rPr>
          <w:rFonts w:hint="eastAsia" w:ascii="宋体" w:hAnsi="宋体" w:eastAsia="宋体" w:cs="宋体"/>
          <w:color w:val="auto"/>
          <w:szCs w:val="21"/>
          <w:vertAlign w:val="superscript"/>
          <w:lang w:val="en-US" w:eastAsia="zh-CN"/>
        </w:rPr>
        <w:t>[60]</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度：强推荐；共识同意率：完全同意88.89%，</w:t>
      </w:r>
      <w:r>
        <w:rPr>
          <w:rFonts w:hint="eastAsia" w:ascii="黑体" w:hAnsi="黑体" w:eastAsia="黑体" w:cs="黑体"/>
          <w:color w:val="auto"/>
          <w:kern w:val="0"/>
          <w:sz w:val="21"/>
          <w:szCs w:val="21"/>
          <w:lang w:val="en-US" w:eastAsia="zh-CN" w:bidi="ar"/>
        </w:rPr>
        <w:t>同意但保留部分意见8.89%</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适用于食管癌前病变表现有：面色萎黄，身体消瘦，胃脘隐隐作痛，饥不欲食，口干咽燥，大便干结，</w:t>
      </w:r>
      <w:r>
        <w:rPr>
          <w:rFonts w:hint="eastAsia" w:ascii="宋体" w:hAnsi="宋体" w:eastAsia="宋体" w:cs="宋体"/>
          <w:color w:val="auto"/>
          <w:szCs w:val="21"/>
          <w:lang w:eastAsia="zh-CN"/>
        </w:rPr>
        <w:t>舌质淡黯</w:t>
      </w:r>
      <w:r>
        <w:rPr>
          <w:rFonts w:hint="eastAsia" w:ascii="宋体" w:hAnsi="宋体" w:eastAsia="宋体" w:cs="宋体"/>
          <w:color w:val="auto"/>
          <w:szCs w:val="21"/>
        </w:rPr>
        <w:t>，苔少或薄白等症状的人群食用。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【材料】野兔肉100g，百合150g，田七15g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【做法】野兔肉过沸水两次，去除血污，捞出沥干水分，百合洗净，田七切片。先爆炒兔肉，随后加入骨头汤、田七、百合等，大火烧沸后，小火焖煮至兔肉熟烂。</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【解析】兔肉补中益气，百合清心安神、润肺止咳，田七止血祛瘀、消肿止痛。</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【宜忌】无</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①不可糊锅；②每日熬煮新鲜食用，不可服用隔夜煲</w:t>
      </w:r>
      <w:r>
        <w:rPr>
          <w:rFonts w:hint="eastAsia"/>
          <w:color w:val="auto"/>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芦根洋参柿霜粥</w:t>
      </w:r>
      <w:r>
        <w:rPr>
          <w:rFonts w:hint="eastAsia" w:ascii="宋体" w:hAnsi="宋体" w:eastAsia="宋体" w:cs="宋体"/>
          <w:color w:val="auto"/>
          <w:szCs w:val="21"/>
          <w:vertAlign w:val="superscript"/>
          <w:lang w:val="en-US" w:eastAsia="zh-CN"/>
        </w:rPr>
        <w:t>[58]</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度：强推荐；共识同意率：完全同意88.64%，</w:t>
      </w:r>
      <w:r>
        <w:rPr>
          <w:rFonts w:hint="eastAsia" w:ascii="黑体" w:hAnsi="黑体" w:eastAsia="黑体" w:cs="黑体"/>
          <w:color w:val="auto"/>
          <w:kern w:val="0"/>
          <w:sz w:val="21"/>
          <w:szCs w:val="21"/>
          <w:lang w:val="en-US" w:eastAsia="zh-CN" w:bidi="ar"/>
        </w:rPr>
        <w:t>同意但保留部分意见9.09%</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w:t>
      </w:r>
      <w:r>
        <w:rPr>
          <w:rFonts w:hint="eastAsia" w:ascii="Times New Roman" w:hAnsi="Times New Roman" w:eastAsia="宋体" w:cs="Times New Roman"/>
          <w:color w:val="auto"/>
          <w:szCs w:val="21"/>
        </w:rPr>
        <w:t>胃脘隐隐作痛，且有灼热感，饥不欲食，或胸骨后不适，口干咽燥，胃脘痞闷不舒，或干呕呃逆，或时有呕吐，大便干结</w:t>
      </w:r>
      <w:r>
        <w:rPr>
          <w:rFonts w:ascii="Times New Roman" w:hAnsi="Times New Roman" w:eastAsia="宋体" w:cs="Times New Roman"/>
          <w:color w:val="auto"/>
        </w:rPr>
        <w:t>等</w:t>
      </w:r>
      <w:r>
        <w:rPr>
          <w:rFonts w:hint="eastAsia" w:ascii="宋体" w:hAnsi="宋体" w:eastAsia="宋体" w:cs="宋体"/>
          <w:color w:val="auto"/>
          <w:szCs w:val="21"/>
        </w:rPr>
        <w:t>症状的人群食用。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【材料】芦根（鲜品）100g，西洋参10g，粳米50g，柿霜30g，粳米30g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【做法】将鲜芦根切成细段，加清水适量煎</w:t>
      </w:r>
      <w:r>
        <w:rPr>
          <w:rFonts w:hint="eastAsia" w:ascii="宋体" w:hAnsi="宋体" w:eastAsia="宋体" w:cs="宋体"/>
          <w:color w:val="auto"/>
          <w:szCs w:val="21"/>
          <w:lang w:val="en-US" w:eastAsia="zh-CN"/>
        </w:rPr>
        <w:t>30分钟</w:t>
      </w:r>
      <w:r>
        <w:rPr>
          <w:rFonts w:hint="eastAsia" w:ascii="宋体" w:hAnsi="宋体" w:eastAsia="宋体" w:cs="宋体"/>
          <w:color w:val="auto"/>
          <w:szCs w:val="21"/>
        </w:rPr>
        <w:t>，去渣，取汁备用。将西洋参切细片，粳米洗净；用芦根水煮洋参、粳米成胶黏稀粥，溶入柿霜即可。 </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【解析】鲜芦根、西洋参清热生津，柿霜生津止渴，化痰宁咳。</w:t>
      </w:r>
    </w:p>
    <w:p>
      <w:pPr>
        <w:pStyle w:val="2"/>
        <w:keepLines w:val="0"/>
        <w:pageBreakBefore w:val="0"/>
        <w:kinsoku/>
        <w:overflowPunct/>
        <w:topLinePunct w:val="0"/>
        <w:bidi w:val="0"/>
        <w:adjustRightInd/>
        <w:spacing w:line="360" w:lineRule="exact"/>
        <w:ind w:firstLine="420" w:firstLineChars="200"/>
        <w:rPr>
          <w:rFonts w:hint="eastAsia" w:eastAsiaTheme="minorEastAsia"/>
          <w:color w:val="auto"/>
          <w:lang w:eastAsia="zh-CN"/>
        </w:rPr>
      </w:pPr>
      <w:r>
        <w:rPr>
          <w:rFonts w:hint="eastAsia"/>
          <w:color w:val="auto"/>
        </w:rPr>
        <w:t>【宜忌】不与藜芦同服</w:t>
      </w:r>
      <w:r>
        <w:rPr>
          <w:rFonts w:hint="eastAsia"/>
          <w:color w:val="auto"/>
          <w:lang w:eastAsia="zh-CN"/>
        </w:rPr>
        <w:t>。</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①稀稠适宜；②不可糊锅；③每日熬煮新鲜食用，不可服用隔夜粥</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5）肝肾阴虚，津液</w:t>
      </w:r>
      <w:r>
        <w:rPr>
          <w:rFonts w:hint="eastAsia" w:ascii="黑体" w:hAnsi="黑体" w:eastAsia="黑体" w:cs="黑体"/>
          <w:color w:val="auto"/>
          <w:szCs w:val="21"/>
          <w:lang w:val="en-US" w:eastAsia="zh-CN"/>
        </w:rPr>
        <w:t>亏虚</w:t>
      </w:r>
      <w:r>
        <w:rPr>
          <w:rFonts w:hint="eastAsia" w:ascii="黑体" w:hAnsi="黑体" w:eastAsia="黑体" w:cs="黑体"/>
          <w:color w:val="auto"/>
          <w:szCs w:val="21"/>
        </w:rPr>
        <w:t>证</w:t>
      </w:r>
    </w:p>
    <w:p>
      <w:pPr>
        <w:keepLines w:val="0"/>
        <w:pageBreakBefore w:val="0"/>
        <w:kinsoku/>
        <w:overflowPunct/>
        <w:topLinePunct w:val="0"/>
        <w:bidi w:val="0"/>
        <w:adjustRightInd/>
        <w:spacing w:line="360" w:lineRule="exact"/>
        <w:ind w:firstLine="420" w:firstLineChars="200"/>
        <w:rPr>
          <w:rFonts w:ascii="宋体" w:hAnsi="宋体" w:eastAsia="宋体" w:cs="宋体"/>
          <w:b/>
          <w:bCs/>
          <w:color w:val="auto"/>
          <w:szCs w:val="21"/>
        </w:rPr>
      </w:pPr>
      <w:r>
        <w:rPr>
          <w:rFonts w:hint="eastAsia" w:ascii="黑体" w:hAnsi="黑体" w:eastAsia="黑体" w:cs="黑体"/>
          <w:color w:val="auto"/>
          <w:szCs w:val="21"/>
        </w:rPr>
        <w:t>阿胶炖肉</w:t>
      </w:r>
      <w:r>
        <w:rPr>
          <w:rFonts w:hint="eastAsia" w:ascii="宋体" w:hAnsi="宋体" w:eastAsia="宋体" w:cs="宋体"/>
          <w:color w:val="auto"/>
          <w:szCs w:val="21"/>
          <w:vertAlign w:val="superscript"/>
          <w:lang w:val="en-US" w:eastAsia="zh-CN"/>
        </w:rPr>
        <w:t>[62]</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度：强推荐；共识同意率：完全同意88.89%，</w:t>
      </w:r>
      <w:r>
        <w:rPr>
          <w:rFonts w:hint="eastAsia" w:ascii="黑体" w:hAnsi="黑体" w:eastAsia="黑体" w:cs="黑体"/>
          <w:color w:val="auto"/>
          <w:kern w:val="0"/>
          <w:sz w:val="21"/>
          <w:szCs w:val="21"/>
          <w:lang w:val="en-US" w:eastAsia="zh-CN" w:bidi="ar"/>
        </w:rPr>
        <w:t>同意但保留部分意见11.11%</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适用于食管癌前病变表现有：身体消瘦，头晕目眩、神疲倦怠，口干口渴，胸部不舒，五心烦热、面色潮红等症状</w:t>
      </w:r>
      <w:r>
        <w:rPr>
          <w:rFonts w:hint="eastAsia" w:ascii="宋体" w:hAnsi="宋体" w:eastAsia="宋体" w:cs="宋体"/>
          <w:color w:val="auto"/>
          <w:szCs w:val="21"/>
          <w:lang w:val="en-US" w:eastAsia="zh-CN"/>
        </w:rPr>
        <w:t>的</w:t>
      </w:r>
      <w:r>
        <w:rPr>
          <w:rFonts w:hint="eastAsia" w:ascii="宋体" w:hAnsi="宋体" w:eastAsia="宋体" w:cs="宋体"/>
          <w:color w:val="auto"/>
          <w:szCs w:val="21"/>
        </w:rPr>
        <w:t>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【材料】阿胶10g，猪瘦肉100g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【做法】先将猪肉洗净切块，加水适量，慢火炖至肉熟烂，再加入阿胶烊化，低盐调味。</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【方解】阿胶为血肉有情之品，有补血、滋阴、润肺、止血等功效。</w:t>
      </w:r>
    </w:p>
    <w:p>
      <w:pPr>
        <w:pStyle w:val="2"/>
        <w:keepLines w:val="0"/>
        <w:pageBreakBefore w:val="0"/>
        <w:kinsoku/>
        <w:overflowPunct/>
        <w:topLinePunct w:val="0"/>
        <w:bidi w:val="0"/>
        <w:adjustRightInd/>
        <w:spacing w:line="360" w:lineRule="exact"/>
        <w:ind w:firstLine="420" w:firstLineChars="200"/>
        <w:rPr>
          <w:rFonts w:hint="eastAsia" w:eastAsiaTheme="minorEastAsia"/>
          <w:color w:val="auto"/>
          <w:lang w:eastAsia="zh-CN"/>
        </w:rPr>
      </w:pPr>
      <w:r>
        <w:rPr>
          <w:rFonts w:hint="eastAsia"/>
          <w:color w:val="auto"/>
        </w:rPr>
        <w:t>【宜忌】阿胶滋腻，出血有瘀血者及胃弱便溏者慎用</w:t>
      </w:r>
      <w:r>
        <w:rPr>
          <w:rFonts w:hint="eastAsia"/>
          <w:color w:val="auto"/>
          <w:lang w:eastAsia="zh-CN"/>
        </w:rPr>
        <w:t>。</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【制作要求】</w:t>
      </w:r>
      <w:r>
        <w:rPr>
          <w:rFonts w:hint="eastAsia"/>
          <w:color w:val="auto"/>
          <w:lang w:val="en-US" w:eastAsia="zh-CN"/>
        </w:rPr>
        <w:t>①稀稠适宜；②不可糊锅；③每日熬煮新鲜食用，</w:t>
      </w:r>
      <w:r>
        <w:rPr>
          <w:rFonts w:hint="eastAsia" w:ascii="宋体" w:hAnsi="宋体" w:eastAsia="宋体" w:cs="宋体"/>
          <w:color w:val="auto"/>
          <w:lang w:val="en-US" w:eastAsia="zh-CN"/>
        </w:rPr>
        <w:t>不可服用隔夜</w:t>
      </w:r>
      <w:r>
        <w:rPr>
          <w:rFonts w:hint="eastAsia" w:hAnsi="宋体" w:eastAsia="宋体" w:cs="宋体"/>
          <w:color w:val="auto"/>
          <w:szCs w:val="21"/>
          <w:lang w:val="en-US" w:eastAsia="zh-CN"/>
        </w:rPr>
        <w:t>食物</w:t>
      </w:r>
      <w:r>
        <w:rPr>
          <w:rFonts w:hint="eastAsia"/>
          <w:color w:val="auto"/>
        </w:rPr>
        <w:t>。</w:t>
      </w:r>
    </w:p>
    <w:p>
      <w:pPr>
        <w:keepLines w:val="0"/>
        <w:pageBreakBefore w:val="0"/>
        <w:kinsoku/>
        <w:overflowPunct/>
        <w:topLinePunct w:val="0"/>
        <w:bidi w:val="0"/>
        <w:adjustRightInd/>
        <w:spacing w:line="360" w:lineRule="exact"/>
        <w:ind w:firstLine="420" w:firstLineChars="200"/>
        <w:rPr>
          <w:rFonts w:ascii="黑体" w:hAnsi="黑体" w:eastAsia="黑体" w:cs="黑体"/>
          <w:color w:val="auto"/>
          <w:szCs w:val="21"/>
        </w:rPr>
      </w:pPr>
      <w:r>
        <w:rPr>
          <w:rFonts w:hint="eastAsia" w:ascii="黑体" w:hAnsi="黑体" w:eastAsia="黑体" w:cs="黑体"/>
          <w:color w:val="auto"/>
          <w:szCs w:val="21"/>
        </w:rPr>
        <w:t>枸杞面包</w:t>
      </w:r>
      <w:r>
        <w:rPr>
          <w:rFonts w:hint="eastAsia" w:ascii="宋体" w:hAnsi="宋体" w:eastAsia="宋体" w:cs="宋体"/>
          <w:color w:val="auto"/>
          <w:szCs w:val="21"/>
          <w:vertAlign w:val="superscript"/>
          <w:lang w:val="en-US" w:eastAsia="zh-CN"/>
        </w:rPr>
        <w:t>[60]</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度：强推荐；共识同意率：完全同意88.64%，</w:t>
      </w:r>
      <w:r>
        <w:rPr>
          <w:rFonts w:hint="eastAsia" w:ascii="黑体" w:hAnsi="黑体" w:eastAsia="黑体" w:cs="黑体"/>
          <w:color w:val="auto"/>
          <w:kern w:val="0"/>
          <w:sz w:val="21"/>
          <w:szCs w:val="21"/>
          <w:lang w:val="en-US" w:eastAsia="zh-CN" w:bidi="ar"/>
        </w:rPr>
        <w:t>同意但保留部分意见11.36%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szCs w:val="21"/>
        </w:rPr>
        <w:t>：</w:t>
      </w:r>
      <w:r>
        <w:rPr>
          <w:rFonts w:hint="eastAsia" w:ascii="宋体" w:hAnsi="宋体" w:eastAsia="宋体" w:cs="宋体"/>
          <w:color w:val="auto"/>
          <w:szCs w:val="21"/>
        </w:rPr>
        <w:t>适用于食管癌前病变表现有：</w:t>
      </w:r>
      <w:r>
        <w:rPr>
          <w:rFonts w:ascii="Times New Roman" w:hAnsi="Times New Roman" w:eastAsia="宋体" w:cs="Times New Roman"/>
          <w:color w:val="auto"/>
          <w:szCs w:val="21"/>
        </w:rPr>
        <w:t>心悸失眠、头晕目眩，身体</w:t>
      </w:r>
      <w:r>
        <w:rPr>
          <w:rFonts w:hint="eastAsia" w:ascii="Times New Roman" w:hAnsi="Times New Roman" w:eastAsia="宋体" w:cs="Times New Roman"/>
          <w:color w:val="auto"/>
          <w:szCs w:val="21"/>
        </w:rPr>
        <w:t>消瘦</w:t>
      </w:r>
      <w:r>
        <w:rPr>
          <w:rFonts w:ascii="Times New Roman" w:hAnsi="Times New Roman" w:eastAsia="宋体" w:cs="Times New Roman"/>
          <w:color w:val="auto"/>
          <w:szCs w:val="21"/>
        </w:rPr>
        <w:t>等</w:t>
      </w:r>
      <w:r>
        <w:rPr>
          <w:rFonts w:hint="eastAsia" w:ascii="宋体" w:hAnsi="宋体" w:eastAsia="宋体" w:cs="宋体"/>
          <w:color w:val="auto"/>
          <w:szCs w:val="21"/>
        </w:rPr>
        <w:t>症状或素体虚弱的人群食用。</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【材料】枸杞200g，青果200g，面粉500g，鹌鹑蛋10g，可可粉40g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【做法】枸杞洗净，青果水煎</w:t>
      </w:r>
      <w:r>
        <w:rPr>
          <w:rFonts w:hint="eastAsia" w:ascii="宋体" w:hAnsi="宋体" w:eastAsia="宋体" w:cs="宋体"/>
          <w:color w:val="auto"/>
          <w:szCs w:val="21"/>
          <w:lang w:eastAsia="zh-CN"/>
        </w:rPr>
        <w:t>，</w:t>
      </w:r>
      <w:r>
        <w:rPr>
          <w:rFonts w:hint="eastAsia" w:ascii="宋体" w:hAnsi="宋体" w:eastAsia="宋体" w:cs="宋体"/>
          <w:color w:val="auto"/>
          <w:szCs w:val="21"/>
        </w:rPr>
        <w:t>取药汁</w:t>
      </w:r>
      <w:r>
        <w:rPr>
          <w:rFonts w:hint="eastAsia" w:ascii="宋体" w:hAnsi="宋体" w:eastAsia="宋体" w:cs="宋体"/>
          <w:color w:val="auto"/>
          <w:szCs w:val="21"/>
          <w:lang w:eastAsia="zh-CN"/>
        </w:rPr>
        <w:t>，</w:t>
      </w:r>
      <w:r>
        <w:rPr>
          <w:rFonts w:hint="eastAsia" w:ascii="宋体" w:hAnsi="宋体" w:eastAsia="宋体" w:cs="宋体"/>
          <w:color w:val="auto"/>
          <w:szCs w:val="21"/>
        </w:rPr>
        <w:t>鸡蛋入碗搅匀备用。取1小碗，下酵母，用青果汁</w:t>
      </w:r>
      <w:r>
        <w:rPr>
          <w:rFonts w:hint="eastAsia" w:ascii="宋体" w:hAnsi="宋体" w:eastAsia="宋体" w:cs="宋体"/>
          <w:color w:val="auto"/>
          <w:szCs w:val="21"/>
          <w:lang w:eastAsia="zh-CN"/>
        </w:rPr>
        <w:t>（</w:t>
      </w:r>
      <w:r>
        <w:rPr>
          <w:rFonts w:hint="eastAsia" w:ascii="宋体" w:hAnsi="宋体" w:eastAsia="宋体" w:cs="宋体"/>
          <w:color w:val="auto"/>
          <w:szCs w:val="21"/>
        </w:rPr>
        <w:t>32～35℃</w:t>
      </w:r>
      <w:r>
        <w:rPr>
          <w:rFonts w:hint="eastAsia" w:ascii="宋体" w:hAnsi="宋体" w:eastAsia="宋体" w:cs="宋体"/>
          <w:color w:val="auto"/>
          <w:szCs w:val="21"/>
          <w:lang w:eastAsia="zh-CN"/>
        </w:rPr>
        <w:t>）</w:t>
      </w:r>
      <w:r>
        <w:rPr>
          <w:rFonts w:hint="eastAsia" w:ascii="宋体" w:hAnsi="宋体" w:eastAsia="宋体" w:cs="宋体"/>
          <w:color w:val="auto"/>
          <w:szCs w:val="21"/>
        </w:rPr>
        <w:t>温水汁化开，调成均匀浆糊揉成面团，揉至无干粉、表面光滑，用湿布盖上发酵。将发好的面团包入枸杞制成长棒的形状</w:t>
      </w:r>
      <w:r>
        <w:rPr>
          <w:rFonts w:hint="eastAsia" w:ascii="宋体" w:hAnsi="宋体" w:eastAsia="宋体" w:cs="宋体"/>
          <w:color w:val="auto"/>
          <w:szCs w:val="21"/>
          <w:lang w:eastAsia="zh-CN"/>
        </w:rPr>
        <w:t>，</w:t>
      </w:r>
      <w:r>
        <w:rPr>
          <w:rFonts w:hint="eastAsia" w:ascii="宋体" w:hAnsi="宋体" w:eastAsia="宋体" w:cs="宋体"/>
          <w:color w:val="auto"/>
          <w:szCs w:val="21"/>
        </w:rPr>
        <w:t>再放饧10分钟；将饧好的面团刷一层蛋液放入已预热好的烤箱中</w:t>
      </w:r>
      <w:r>
        <w:rPr>
          <w:rFonts w:hint="eastAsia" w:ascii="宋体" w:hAnsi="宋体" w:eastAsia="宋体" w:cs="宋体"/>
          <w:color w:val="auto"/>
          <w:szCs w:val="21"/>
          <w:lang w:eastAsia="zh-CN"/>
        </w:rPr>
        <w:t>，</w:t>
      </w:r>
      <w:r>
        <w:rPr>
          <w:rFonts w:hint="eastAsia" w:ascii="宋体" w:hAnsi="宋体" w:eastAsia="宋体" w:cs="宋体"/>
          <w:color w:val="auto"/>
          <w:szCs w:val="21"/>
        </w:rPr>
        <w:t>将烤箱温度调至175℃的温度，烤30分钟；可可粉加糖放炉上用微火加温，边加温边搅，待糖完全溶化后，加入少量的香兰素继续搅拌均匀，挤在烤好的面包上。</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【方解】枸杞滋补肝肾，鹌鹑蛋补五脏、益中续气。</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【宜忌】无</w:t>
      </w:r>
    </w:p>
    <w:p>
      <w:pPr>
        <w:pStyle w:val="2"/>
        <w:keepLines w:val="0"/>
        <w:pageBreakBefore w:val="0"/>
        <w:kinsoku/>
        <w:overflowPunct/>
        <w:topLinePunct w:val="0"/>
        <w:bidi w:val="0"/>
        <w:adjustRightInd/>
        <w:spacing w:line="360" w:lineRule="exact"/>
        <w:ind w:firstLine="420" w:firstLineChars="200"/>
        <w:rPr>
          <w:rFonts w:hint="default" w:eastAsiaTheme="minorEastAsia"/>
          <w:color w:val="auto"/>
          <w:lang w:val="en-US" w:eastAsia="zh-CN"/>
        </w:rPr>
      </w:pPr>
      <w:r>
        <w:rPr>
          <w:rFonts w:hint="eastAsia"/>
          <w:color w:val="auto"/>
        </w:rPr>
        <w:t>【制作要求】</w:t>
      </w:r>
      <w:r>
        <w:rPr>
          <w:rFonts w:hint="eastAsia"/>
          <w:color w:val="auto"/>
          <w:lang w:val="en-US" w:eastAsia="zh-CN"/>
        </w:rPr>
        <w:t>把握烤箱温度及烘烤时间。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ascii="宋体" w:hAnsi="宋体" w:eastAsia="宋体" w:cs="宋体"/>
          <w:color w:val="auto"/>
          <w:szCs w:val="21"/>
        </w:rPr>
      </w:pPr>
      <w:r>
        <w:rPr>
          <w:rFonts w:hint="eastAsia" w:ascii="黑体" w:hAnsi="黑体" w:eastAsia="黑体" w:cs="黑体"/>
          <w:b w:val="0"/>
          <w:bCs w:val="0"/>
          <w:color w:val="auto"/>
          <w:sz w:val="21"/>
          <w:szCs w:val="21"/>
          <w:lang w:val="en-US" w:eastAsia="zh-CN"/>
        </w:rPr>
        <w:t xml:space="preserve">7.3.2.4 </w:t>
      </w:r>
      <w:r>
        <w:rPr>
          <w:rFonts w:hint="eastAsia" w:ascii="黑体" w:hAnsi="黑体" w:eastAsia="黑体" w:cs="黑体"/>
          <w:b w:val="0"/>
          <w:bCs w:val="0"/>
          <w:color w:val="auto"/>
          <w:kern w:val="2"/>
          <w:sz w:val="21"/>
          <w:szCs w:val="21"/>
          <w:lang w:val="en-US" w:eastAsia="zh-CN" w:bidi="ar-SA"/>
        </w:rPr>
        <w:t>针灸</w:t>
      </w:r>
      <w:r>
        <w:rPr>
          <w:rFonts w:hint="eastAsia" w:ascii="宋体" w:hAnsi="宋体" w:eastAsia="宋体" w:cs="宋体"/>
          <w:color w:val="auto"/>
          <w:szCs w:val="21"/>
        </w:rPr>
        <w:t xml:space="preserve"> </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1）针刺</w:t>
      </w:r>
      <w:r>
        <w:rPr>
          <w:rStyle w:val="17"/>
          <w:rFonts w:hint="eastAsia" w:ascii="宋体" w:hAnsi="宋体" w:eastAsia="宋体" w:cs="宋体"/>
          <w:color w:val="auto"/>
          <w:vertAlign w:val="superscript"/>
          <w:lang w:val="en-US" w:eastAsia="zh-CN"/>
        </w:rPr>
        <w:t>[63-71]</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度：强推荐；共识同意率：完全同意86.51%，</w:t>
      </w:r>
      <w:r>
        <w:rPr>
          <w:rFonts w:hint="eastAsia" w:ascii="黑体" w:hAnsi="黑体" w:eastAsia="黑体" w:cs="黑体"/>
          <w:color w:val="auto"/>
          <w:kern w:val="0"/>
          <w:sz w:val="21"/>
          <w:szCs w:val="21"/>
          <w:lang w:val="en-US" w:eastAsia="zh-CN" w:bidi="ar"/>
        </w:rPr>
        <w:t>同意但保留部分意见13.49%</w:t>
      </w:r>
      <w:r>
        <w:rPr>
          <w:rFonts w:hint="eastAsia" w:ascii="黑体" w:hAnsi="黑体" w:eastAsia="黑体" w:cs="黑体"/>
          <w:b w:val="0"/>
          <w:bCs w:val="0"/>
          <w:color w:val="auto"/>
          <w:kern w:val="2"/>
          <w:sz w:val="21"/>
          <w:szCs w:val="21"/>
          <w:lang w:val="en-US" w:eastAsia="zh-CN" w:bidi="ar-SA"/>
        </w:rPr>
        <w:t>）</w:t>
      </w:r>
      <w:r>
        <w:rPr>
          <w:rFonts w:ascii="宋体" w:hAnsi="宋体" w:eastAsia="宋体" w:cs="宋体"/>
          <w:color w:val="auto"/>
          <w:szCs w:val="21"/>
        </w:rPr>
        <w:t xml:space="preserve"> </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【治法】调理脾胃，补虚泻实。</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rPr>
        <w:t>【主穴】中脘（直刺1～1.5寸）、足三里（直刺1～2寸）、胃俞（斜刺0.5～0.8寸）、脾俞（斜刺0.5～0.8寸）、内关（直刺0.5～1寸）</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膻中</w:t>
      </w:r>
      <w:r>
        <w:rPr>
          <w:rFonts w:hint="eastAsia" w:ascii="宋体" w:hAnsi="宋体" w:eastAsia="宋体" w:cs="宋体"/>
          <w:color w:val="auto"/>
          <w:szCs w:val="21"/>
        </w:rPr>
        <w:t>（</w:t>
      </w:r>
      <w:r>
        <w:rPr>
          <w:rFonts w:hint="eastAsia" w:ascii="宋体" w:hAnsi="宋体" w:eastAsia="宋体" w:cs="宋体"/>
          <w:color w:val="auto"/>
          <w:szCs w:val="21"/>
          <w:lang w:val="en-US" w:eastAsia="zh-CN"/>
        </w:rPr>
        <w:t>平</w:t>
      </w:r>
      <w:r>
        <w:rPr>
          <w:rFonts w:hint="eastAsia" w:ascii="宋体" w:hAnsi="宋体" w:eastAsia="宋体" w:cs="宋体"/>
          <w:color w:val="auto"/>
          <w:szCs w:val="21"/>
        </w:rPr>
        <w:t>刺0.</w:t>
      </w:r>
      <w:r>
        <w:rPr>
          <w:rFonts w:hint="eastAsia" w:ascii="宋体" w:hAnsi="宋体" w:eastAsia="宋体" w:cs="宋体"/>
          <w:color w:val="auto"/>
          <w:szCs w:val="21"/>
          <w:lang w:val="en-US" w:eastAsia="zh-CN"/>
        </w:rPr>
        <w:t>3</w:t>
      </w:r>
      <w:r>
        <w:rPr>
          <w:rFonts w:hint="eastAsia" w:ascii="宋体" w:hAnsi="宋体" w:eastAsia="宋体" w:cs="宋体"/>
          <w:color w:val="auto"/>
          <w:szCs w:val="21"/>
        </w:rPr>
        <w:t>～0.</w:t>
      </w:r>
      <w:r>
        <w:rPr>
          <w:rFonts w:hint="eastAsia" w:ascii="宋体" w:hAnsi="宋体" w:eastAsia="宋体" w:cs="宋体"/>
          <w:color w:val="auto"/>
          <w:szCs w:val="21"/>
          <w:lang w:val="en-US" w:eastAsia="zh-CN"/>
        </w:rPr>
        <w:t>5</w:t>
      </w:r>
      <w:r>
        <w:rPr>
          <w:rFonts w:hint="eastAsia" w:ascii="宋体" w:hAnsi="宋体" w:eastAsia="宋体" w:cs="宋体"/>
          <w:color w:val="auto"/>
          <w:szCs w:val="21"/>
        </w:rPr>
        <w:t>寸）</w:t>
      </w:r>
      <w:r>
        <w:rPr>
          <w:rFonts w:hint="eastAsia" w:ascii="宋体" w:hAnsi="宋体" w:eastAsia="宋体" w:cs="宋体"/>
          <w:color w:val="auto"/>
          <w:szCs w:val="21"/>
          <w:lang w:val="en-US" w:eastAsia="zh-CN"/>
        </w:rPr>
        <w:t>、天突</w:t>
      </w:r>
      <w:r>
        <w:rPr>
          <w:rFonts w:hint="eastAsia" w:ascii="宋体" w:hAnsi="宋体" w:eastAsia="宋体" w:cs="宋体"/>
          <w:color w:val="auto"/>
          <w:szCs w:val="21"/>
        </w:rPr>
        <w:t>（</w:t>
      </w:r>
      <w:r>
        <w:rPr>
          <w:rFonts w:hint="eastAsia" w:ascii="宋体" w:hAnsi="宋体" w:eastAsia="宋体" w:cs="宋体"/>
          <w:color w:val="auto"/>
          <w:szCs w:val="21"/>
          <w:lang w:val="en-US" w:eastAsia="zh-CN"/>
        </w:rPr>
        <w:t>平</w:t>
      </w:r>
      <w:r>
        <w:rPr>
          <w:rFonts w:hint="eastAsia" w:ascii="宋体" w:hAnsi="宋体" w:eastAsia="宋体" w:cs="宋体"/>
          <w:color w:val="auto"/>
          <w:szCs w:val="21"/>
        </w:rPr>
        <w:t>刺0.</w:t>
      </w:r>
      <w:r>
        <w:rPr>
          <w:rFonts w:hint="eastAsia" w:ascii="宋体" w:hAnsi="宋体" w:eastAsia="宋体" w:cs="宋体"/>
          <w:color w:val="auto"/>
          <w:szCs w:val="21"/>
          <w:lang w:val="en-US" w:eastAsia="zh-CN"/>
        </w:rPr>
        <w:t>3</w:t>
      </w:r>
      <w:r>
        <w:rPr>
          <w:rFonts w:hint="eastAsia" w:ascii="宋体" w:hAnsi="宋体" w:eastAsia="宋体" w:cs="宋体"/>
          <w:color w:val="auto"/>
          <w:szCs w:val="21"/>
        </w:rPr>
        <w:t>～0.</w:t>
      </w:r>
      <w:r>
        <w:rPr>
          <w:rFonts w:hint="eastAsia" w:ascii="宋体" w:hAnsi="宋体" w:eastAsia="宋体" w:cs="宋体"/>
          <w:color w:val="auto"/>
          <w:szCs w:val="21"/>
          <w:lang w:val="en-US" w:eastAsia="zh-CN"/>
        </w:rPr>
        <w:t>5</w:t>
      </w:r>
      <w:r>
        <w:rPr>
          <w:rFonts w:hint="eastAsia" w:ascii="宋体" w:hAnsi="宋体" w:eastAsia="宋体" w:cs="宋体"/>
          <w:color w:val="auto"/>
          <w:szCs w:val="21"/>
        </w:rPr>
        <w:t>寸）</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【配穴】</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肝胃不和</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痰气交阻</w:t>
      </w:r>
      <w:r>
        <w:rPr>
          <w:rFonts w:hint="eastAsia" w:ascii="宋体" w:hAnsi="宋体" w:eastAsia="宋体" w:cs="宋体"/>
          <w:color w:val="auto"/>
          <w:szCs w:val="21"/>
        </w:rPr>
        <w:t>配肝俞（斜刺0.5～0.8寸）、期门（斜刺或平刺0.5～0.8寸）、阳陵泉（直刺1～1.5寸）、太冲（直刺0.5～1寸）</w:t>
      </w:r>
      <w:r>
        <w:rPr>
          <w:rFonts w:hint="eastAsia" w:ascii="宋体" w:hAnsi="宋体" w:eastAsia="宋体" w:cs="宋体"/>
          <w:color w:val="auto"/>
          <w:szCs w:val="21"/>
          <w:lang w:eastAsia="zh-CN"/>
        </w:rPr>
        <w:t>、</w:t>
      </w:r>
      <w:r>
        <w:rPr>
          <w:rFonts w:hint="eastAsia" w:ascii="宋体" w:hAnsi="宋体" w:eastAsia="宋体" w:cs="宋体"/>
          <w:color w:val="auto"/>
          <w:szCs w:val="21"/>
        </w:rPr>
        <w:t>三阴交（直刺1～1.5寸，孕妇禁针）、太溪（直刺0.5～1寸）、内庭（直刺或斜刺0.5～0.8寸）</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胃热壅盛，浊气上逆配内庭（直刺或斜刺0.5～0.8寸）、三阴交（直刺1～1.5寸，孕妇禁针）、太溪（直刺0.5～1寸）、肝俞（斜刺0.5～0.8寸）、太冲（直刺0.5～1寸）</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脾胃虚弱</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痰瘀互结</w:t>
      </w:r>
      <w:r>
        <w:rPr>
          <w:rFonts w:hint="eastAsia" w:ascii="宋体" w:hAnsi="宋体" w:eastAsia="宋体" w:cs="宋体"/>
          <w:color w:val="auto"/>
          <w:szCs w:val="21"/>
        </w:rPr>
        <w:t>配章门（直刺0.8～1寸）、攒竹（向眉中或向眼眶内缘平刺或斜刺0.3～0.5寸，或直刺0.2～0.3寸）；阴陵泉（直刺1～2寸）、丰隆（直刺1～1.5寸）、合谷（直刺0.5～1寸）、曲池（直刺1～1.5寸）、血海（直刺1～1.5寸）</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胃阴亏虚、食管失濡</w:t>
      </w:r>
      <w:r>
        <w:rPr>
          <w:rFonts w:hint="eastAsia" w:ascii="宋体" w:hAnsi="宋体" w:eastAsia="宋体" w:cs="宋体"/>
          <w:color w:val="auto"/>
          <w:szCs w:val="21"/>
        </w:rPr>
        <w:t>配三阴交（直刺1～1.5寸，孕妇禁针）、太溪（直刺0.5～1寸）、</w:t>
      </w:r>
      <w:r>
        <w:rPr>
          <w:rFonts w:hint="eastAsia" w:ascii="宋体" w:hAnsi="宋体" w:eastAsia="宋体" w:cs="宋体"/>
          <w:color w:val="auto"/>
          <w:szCs w:val="21"/>
          <w:lang w:val="en-US" w:eastAsia="zh-CN"/>
        </w:rPr>
        <w:t>照海（直刺0.5～0.8寸）、复溜（直刺0.5～1寸）。</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肝肾阴虚，津液亏虚配肾腧（</w:t>
      </w:r>
      <w:r>
        <w:rPr>
          <w:rFonts w:hint="eastAsia" w:ascii="宋体" w:hAnsi="宋体" w:eastAsia="宋体" w:cs="宋体"/>
          <w:color w:val="auto"/>
          <w:szCs w:val="21"/>
        </w:rPr>
        <w:t>斜刺0.5～0.8寸</w:t>
      </w:r>
      <w:r>
        <w:rPr>
          <w:rFonts w:hint="eastAsia" w:ascii="宋体" w:hAnsi="宋体" w:eastAsia="宋体" w:cs="宋体"/>
          <w:color w:val="auto"/>
          <w:szCs w:val="21"/>
          <w:lang w:val="en-US" w:eastAsia="zh-CN"/>
        </w:rPr>
        <w:t>）、</w:t>
      </w:r>
      <w:r>
        <w:rPr>
          <w:rFonts w:hint="eastAsia" w:ascii="宋体" w:hAnsi="宋体" w:eastAsia="宋体" w:cs="宋体"/>
          <w:color w:val="auto"/>
          <w:szCs w:val="21"/>
        </w:rPr>
        <w:t>三阴交（直刺1～1.5寸，孕妇禁针）</w:t>
      </w:r>
      <w:r>
        <w:rPr>
          <w:rFonts w:hint="eastAsia" w:ascii="宋体" w:hAnsi="宋体" w:eastAsia="宋体" w:cs="宋体"/>
          <w:color w:val="auto"/>
          <w:szCs w:val="21"/>
          <w:lang w:eastAsia="zh-CN"/>
        </w:rPr>
        <w:t>、</w:t>
      </w:r>
      <w:r>
        <w:rPr>
          <w:rFonts w:hint="eastAsia" w:ascii="宋体" w:hAnsi="宋体" w:eastAsia="宋体" w:cs="宋体"/>
          <w:color w:val="auto"/>
          <w:szCs w:val="21"/>
        </w:rPr>
        <w:t>太溪（直刺0.5～1寸）</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关元（</w:t>
      </w:r>
      <w:r>
        <w:rPr>
          <w:rFonts w:hint="eastAsia" w:ascii="宋体" w:hAnsi="宋体" w:eastAsia="宋体" w:cs="宋体"/>
          <w:color w:val="auto"/>
          <w:szCs w:val="21"/>
        </w:rPr>
        <w:t>斜刺0.</w:t>
      </w:r>
      <w:r>
        <w:rPr>
          <w:rFonts w:hint="eastAsia" w:ascii="宋体" w:hAnsi="宋体" w:eastAsia="宋体" w:cs="宋体"/>
          <w:color w:val="auto"/>
          <w:szCs w:val="21"/>
          <w:lang w:val="en-US" w:eastAsia="zh-CN"/>
        </w:rPr>
        <w:t>8</w:t>
      </w:r>
      <w:r>
        <w:rPr>
          <w:rFonts w:hint="eastAsia" w:ascii="宋体" w:hAnsi="宋体" w:eastAsia="宋体" w:cs="宋体"/>
          <w:color w:val="auto"/>
          <w:szCs w:val="21"/>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寸</w:t>
      </w:r>
      <w:r>
        <w:rPr>
          <w:rFonts w:hint="eastAsia" w:ascii="宋体" w:hAnsi="宋体" w:eastAsia="宋体" w:cs="宋体"/>
          <w:color w:val="auto"/>
          <w:szCs w:val="21"/>
          <w:lang w:val="en-US" w:eastAsia="zh-CN"/>
        </w:rPr>
        <w:t>）</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【操作】患者取仰卧位或坐位，以舒适为宜，以75%酒精棉球擦拭消毒医者手指及患者穴位局部皮肤，用一次性无菌针灸针</w:t>
      </w:r>
      <w:r>
        <w:rPr>
          <w:rFonts w:ascii="宋体" w:hAnsi="宋体" w:eastAsia="宋体" w:cs="宋体"/>
          <w:color w:val="auto"/>
          <w:szCs w:val="21"/>
        </w:rPr>
        <w:t>(0.3mm×</w:t>
      </w:r>
      <w:r>
        <w:rPr>
          <w:rFonts w:hint="eastAsia" w:ascii="宋体" w:hAnsi="宋体" w:eastAsia="宋体" w:cs="宋体"/>
          <w:color w:val="auto"/>
          <w:szCs w:val="21"/>
        </w:rPr>
        <w:t>25</w:t>
      </w:r>
      <w:r>
        <w:rPr>
          <w:rFonts w:ascii="宋体" w:hAnsi="宋体" w:eastAsia="宋体" w:cs="宋体"/>
          <w:color w:val="auto"/>
          <w:szCs w:val="21"/>
        </w:rPr>
        <w:t>mm</w:t>
      </w:r>
      <w:r>
        <w:rPr>
          <w:rFonts w:hint="eastAsia" w:ascii="宋体" w:hAnsi="宋体" w:eastAsia="宋体" w:cs="宋体"/>
          <w:color w:val="auto"/>
          <w:szCs w:val="21"/>
        </w:rPr>
        <w:t>～0.3mm×75mm</w:t>
      </w:r>
      <w:r>
        <w:rPr>
          <w:rFonts w:ascii="宋体" w:hAnsi="宋体" w:eastAsia="宋体" w:cs="宋体"/>
          <w:color w:val="auto"/>
          <w:szCs w:val="21"/>
        </w:rPr>
        <w:t>)</w:t>
      </w:r>
      <w:r>
        <w:rPr>
          <w:rFonts w:hint="eastAsia" w:ascii="宋体" w:hAnsi="宋体" w:eastAsia="宋体" w:cs="宋体"/>
          <w:color w:val="auto"/>
          <w:szCs w:val="21"/>
        </w:rPr>
        <w:t>，以平补平泻手法进针，每10～15</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行针1次，以小幅度高频率的捻转手法进行中等刺激，以出现适度酸胀感为宜。每日治疗1次，每次留针25</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，14日为1个疗程，脾胃虚弱者可加灸法。</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color w:val="auto"/>
        </w:rPr>
        <w:t>【推荐意见】</w:t>
      </w:r>
      <w:r>
        <w:rPr>
          <w:rFonts w:hint="eastAsia" w:ascii="宋体" w:hAnsi="宋体" w:eastAsia="宋体" w:cs="宋体"/>
          <w:color w:val="auto"/>
          <w:szCs w:val="21"/>
        </w:rPr>
        <w:t>针刺疗法是通过刺激经络、腧穴，调节经脉气血，改善机体气滞、血瘀、痰凝的状态，达到疏通经络、扶正祛邪、调和阴阳的治疗作用。</w:t>
      </w:r>
      <w:r>
        <w:rPr>
          <w:rFonts w:hint="eastAsia"/>
          <w:color w:val="auto"/>
        </w:rPr>
        <w:t>针刺</w:t>
      </w:r>
      <w:r>
        <w:rPr>
          <w:rFonts w:hint="eastAsia" w:ascii="宋体" w:hAnsi="宋体" w:eastAsia="宋体" w:cs="宋体"/>
          <w:color w:val="auto"/>
          <w:szCs w:val="21"/>
        </w:rPr>
        <w:t>治疗可有效缓解</w:t>
      </w:r>
      <w:r>
        <w:rPr>
          <w:rFonts w:hint="eastAsia" w:ascii="宋体" w:hAnsi="宋体" w:eastAsia="宋体" w:cs="宋体"/>
          <w:color w:val="auto"/>
          <w:szCs w:val="21"/>
          <w:lang w:val="en-US" w:eastAsia="zh-CN"/>
        </w:rPr>
        <w:t>食管癌前病变</w:t>
      </w:r>
      <w:r>
        <w:rPr>
          <w:rFonts w:hint="eastAsia" w:ascii="宋体" w:hAnsi="宋体" w:eastAsia="宋体" w:cs="宋体"/>
          <w:color w:val="auto"/>
          <w:szCs w:val="21"/>
        </w:rPr>
        <w:t>患者咽喉不适、胸部不舒、反酸</w:t>
      </w:r>
      <w:r>
        <w:rPr>
          <w:rFonts w:hint="eastAsia" w:ascii="宋体" w:hAnsi="宋体" w:eastAsia="宋体" w:cs="宋体"/>
          <w:color w:val="auto"/>
          <w:szCs w:val="21"/>
          <w:lang w:eastAsia="zh-CN"/>
        </w:rPr>
        <w:t>、</w:t>
      </w:r>
      <w:r>
        <w:rPr>
          <w:rFonts w:hint="eastAsia" w:ascii="宋体" w:hAnsi="宋体" w:eastAsia="宋体" w:cs="宋体"/>
          <w:color w:val="auto"/>
          <w:szCs w:val="21"/>
        </w:rPr>
        <w:t>嗳气</w:t>
      </w:r>
      <w:r>
        <w:rPr>
          <w:rFonts w:hint="eastAsia" w:ascii="宋体" w:hAnsi="宋体" w:eastAsia="宋体" w:cs="宋体"/>
          <w:color w:val="auto"/>
          <w:szCs w:val="21"/>
          <w:lang w:eastAsia="zh-CN"/>
        </w:rPr>
        <w:t>、</w:t>
      </w:r>
      <w:r>
        <w:rPr>
          <w:rFonts w:hint="eastAsia" w:ascii="宋体" w:hAnsi="宋体" w:eastAsia="宋体" w:cs="宋体"/>
          <w:color w:val="auto"/>
          <w:szCs w:val="21"/>
        </w:rPr>
        <w:t>呃逆等临床症状。</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rPr>
      </w:pPr>
      <w:r>
        <w:rPr>
          <w:rFonts w:hint="eastAsia" w:ascii="黑体" w:hAnsi="黑体" w:eastAsia="黑体" w:cs="黑体"/>
          <w:color w:val="auto"/>
          <w:szCs w:val="21"/>
        </w:rPr>
        <w:t>2）灸法</w:t>
      </w:r>
      <w:r>
        <w:rPr>
          <w:rStyle w:val="17"/>
          <w:rFonts w:hint="eastAsia" w:ascii="宋体" w:hAnsi="宋体" w:eastAsia="宋体" w:cs="宋体"/>
          <w:color w:val="auto"/>
          <w:vertAlign w:val="superscript"/>
          <w:lang w:val="en-US" w:eastAsia="zh-CN"/>
        </w:rPr>
        <w:t>[72-76]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度：强推荐；共识同意率：完全同意83.18%，</w:t>
      </w:r>
      <w:r>
        <w:rPr>
          <w:rFonts w:hint="eastAsia" w:ascii="黑体" w:hAnsi="黑体" w:eastAsia="黑体" w:cs="黑体"/>
          <w:color w:val="auto"/>
          <w:kern w:val="0"/>
          <w:sz w:val="21"/>
          <w:szCs w:val="21"/>
          <w:lang w:val="en-US" w:eastAsia="zh-CN" w:bidi="ar"/>
        </w:rPr>
        <w:t>同意但保留部分意见16.82%</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】补虚泻实，降逆和胃。</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【取穴】上脘、中脘、下脘、脾俞、胃俞、肝俞、神阙、气海、内关、外关、足三里等穴为主并随证加减。</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【操作】患者取</w:t>
      </w:r>
      <w:r>
        <w:rPr>
          <w:rFonts w:hint="eastAsia" w:ascii="宋体" w:hAnsi="宋体" w:eastAsia="宋体" w:cs="宋体"/>
          <w:color w:val="auto"/>
        </w:rPr>
        <w:t>平卧位，</w:t>
      </w:r>
      <w:r>
        <w:rPr>
          <w:rFonts w:hint="eastAsia" w:ascii="宋体" w:hAnsi="宋体" w:eastAsia="宋体" w:cs="宋体"/>
          <w:color w:val="auto"/>
          <w:szCs w:val="21"/>
        </w:rPr>
        <w:t>以舒适为宜</w:t>
      </w:r>
      <w:r>
        <w:rPr>
          <w:rFonts w:hint="eastAsia" w:ascii="宋体" w:hAnsi="宋体" w:eastAsia="宋体" w:cs="宋体"/>
          <w:color w:val="auto"/>
        </w:rPr>
        <w:t>。方法</w:t>
      </w:r>
      <w:r>
        <w:rPr>
          <w:rFonts w:hint="eastAsia" w:ascii="宋体" w:hAnsi="宋体" w:eastAsia="宋体" w:cs="宋体"/>
          <w:color w:val="auto"/>
          <w:szCs w:val="21"/>
        </w:rPr>
        <w:t>一、温和灸：</w:t>
      </w:r>
      <w:r>
        <w:rPr>
          <w:rFonts w:hint="eastAsia" w:ascii="宋体" w:hAnsi="宋体" w:eastAsia="宋体" w:cs="宋体"/>
          <w:color w:val="auto"/>
        </w:rPr>
        <w:t>医者将艾条点燃的一端对准应灸部位</w:t>
      </w:r>
      <w:r>
        <w:rPr>
          <w:rFonts w:hint="eastAsia" w:ascii="宋体" w:hAnsi="宋体" w:eastAsia="宋体" w:cs="宋体"/>
          <w:color w:val="auto"/>
          <w:szCs w:val="21"/>
        </w:rPr>
        <w:t>，</w:t>
      </w:r>
      <w:r>
        <w:rPr>
          <w:rFonts w:hint="eastAsia" w:ascii="宋体" w:hAnsi="宋体" w:eastAsia="宋体" w:cs="宋体"/>
          <w:color w:val="auto"/>
        </w:rPr>
        <w:t>距皮肤2～3cm</w:t>
      </w:r>
      <w:r>
        <w:rPr>
          <w:rFonts w:hint="eastAsia" w:ascii="宋体" w:hAnsi="宋体" w:eastAsia="宋体" w:cs="宋体"/>
          <w:color w:val="auto"/>
          <w:lang w:eastAsia="zh-CN"/>
        </w:rPr>
        <w:t>。</w:t>
      </w:r>
      <w:r>
        <w:rPr>
          <w:rFonts w:hint="eastAsia" w:ascii="宋体" w:hAnsi="宋体" w:eastAsia="宋体" w:cs="宋体"/>
          <w:color w:val="auto"/>
        </w:rPr>
        <w:t>方法二、回旋灸：医者将艾条点燃的一端与施灸部位皮肤保持2～3cm距离，左右移动或反复旋转施灸。使患者局部有温热感而无灼痛为宜，每穴灸7～10</w:t>
      </w:r>
      <w:r>
        <w:rPr>
          <w:rFonts w:hint="eastAsia" w:ascii="宋体" w:hAnsi="宋体" w:eastAsia="宋体" w:cs="宋体"/>
          <w:color w:val="auto"/>
          <w:lang w:val="en-US" w:eastAsia="zh-CN"/>
        </w:rPr>
        <w:t>分钟</w:t>
      </w:r>
      <w:r>
        <w:rPr>
          <w:rFonts w:hint="eastAsia" w:ascii="宋体" w:hAnsi="宋体" w:eastAsia="宋体" w:cs="宋体"/>
          <w:color w:val="auto"/>
        </w:rPr>
        <w:t>，至皮肤红晕为度。</w:t>
      </w:r>
      <w:r>
        <w:rPr>
          <w:rFonts w:hint="eastAsia" w:ascii="宋体" w:hAnsi="宋体" w:eastAsia="宋体" w:cs="宋体"/>
          <w:color w:val="auto"/>
          <w:szCs w:val="21"/>
        </w:rPr>
        <w:t>每日治疗1次，20日为1个疗程。</w:t>
      </w:r>
    </w:p>
    <w:p>
      <w:pPr>
        <w:keepLines w:val="0"/>
        <w:pageBreakBefore w:val="0"/>
        <w:kinsoku/>
        <w:overflowPunct/>
        <w:topLinePunct w:val="0"/>
        <w:bidi w:val="0"/>
        <w:adjustRightInd/>
        <w:spacing w:line="360" w:lineRule="exact"/>
        <w:ind w:firstLine="420" w:firstLineChars="200"/>
        <w:rPr>
          <w:color w:val="auto"/>
        </w:rPr>
      </w:pPr>
      <w:r>
        <w:rPr>
          <w:rFonts w:hint="eastAsia"/>
          <w:color w:val="auto"/>
        </w:rPr>
        <w:t>【推荐意见】</w:t>
      </w:r>
      <w:r>
        <w:rPr>
          <w:color w:val="auto"/>
        </w:rPr>
        <w:t>艾灸</w:t>
      </w:r>
      <w:r>
        <w:rPr>
          <w:rFonts w:hint="eastAsia"/>
          <w:color w:val="auto"/>
        </w:rPr>
        <w:t>以上穴位</w:t>
      </w:r>
      <w:r>
        <w:rPr>
          <w:color w:val="auto"/>
        </w:rPr>
        <w:t>有</w:t>
      </w:r>
      <w:r>
        <w:rPr>
          <w:rFonts w:hint="eastAsia"/>
          <w:color w:val="auto"/>
        </w:rPr>
        <w:t>疏肝利胆、</w:t>
      </w:r>
      <w:r>
        <w:rPr>
          <w:color w:val="auto"/>
        </w:rPr>
        <w:t>益气健脾、消痞</w:t>
      </w:r>
      <w:r>
        <w:rPr>
          <w:rFonts w:hint="eastAsia"/>
          <w:color w:val="auto"/>
          <w:lang w:val="en-US" w:eastAsia="zh-CN"/>
        </w:rPr>
        <w:t>散结、</w:t>
      </w:r>
      <w:r>
        <w:rPr>
          <w:color w:val="auto"/>
        </w:rPr>
        <w:t>和胃止痛</w:t>
      </w:r>
      <w:r>
        <w:rPr>
          <w:rFonts w:hint="eastAsia"/>
          <w:color w:val="auto"/>
        </w:rPr>
        <w:t>、降逆止呃</w:t>
      </w:r>
      <w:r>
        <w:rPr>
          <w:color w:val="auto"/>
        </w:rPr>
        <w:t>等功效，</w:t>
      </w:r>
      <w:r>
        <w:rPr>
          <w:rFonts w:hint="eastAsia" w:ascii="宋体" w:hAnsi="宋体" w:eastAsia="宋体" w:cs="宋体"/>
          <w:color w:val="auto"/>
          <w:szCs w:val="21"/>
        </w:rPr>
        <w:t>可用于食管癌前病变有反酸、烧心、胸骨后疼痛、吞咽困难等肝胃不和表现的患者，亦</w:t>
      </w:r>
      <w:r>
        <w:rPr>
          <w:rFonts w:hint="eastAsia" w:ascii="宋体" w:hAnsi="宋体" w:eastAsia="宋体" w:cs="宋体"/>
          <w:color w:val="auto"/>
          <w:szCs w:val="21"/>
          <w:lang w:val="en-US" w:eastAsia="zh-CN"/>
        </w:rPr>
        <w:t>可</w:t>
      </w:r>
      <w:r>
        <w:rPr>
          <w:rFonts w:hint="eastAsia" w:ascii="宋体" w:hAnsi="宋体" w:eastAsia="宋体" w:cs="宋体"/>
          <w:color w:val="auto"/>
          <w:szCs w:val="21"/>
        </w:rPr>
        <w:t>用于脾胃虚弱，</w:t>
      </w:r>
      <w:r>
        <w:rPr>
          <w:rFonts w:hint="eastAsia" w:ascii="宋体" w:hAnsi="宋体" w:eastAsia="宋体" w:cs="宋体"/>
          <w:color w:val="auto"/>
          <w:szCs w:val="21"/>
          <w:lang w:val="en-US" w:eastAsia="zh-CN"/>
        </w:rPr>
        <w:t>出现</w:t>
      </w:r>
      <w:r>
        <w:rPr>
          <w:rFonts w:hint="eastAsia" w:ascii="宋体" w:hAnsi="宋体" w:eastAsia="宋体" w:cs="宋体"/>
          <w:color w:val="auto"/>
          <w:szCs w:val="21"/>
        </w:rPr>
        <w:t>食欲不振，少气懒言，神疲乏力，时吐痰涎，时有嗳气或呃逆或腹胀的患者。</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3）耳穴</w:t>
      </w:r>
      <w:r>
        <w:rPr>
          <w:rStyle w:val="17"/>
          <w:rFonts w:hint="eastAsia" w:ascii="宋体" w:hAnsi="宋体" w:eastAsia="宋体" w:cs="宋体"/>
          <w:color w:val="auto"/>
          <w:vertAlign w:val="superscript"/>
          <w:lang w:val="en-US" w:eastAsia="zh-CN"/>
        </w:rPr>
        <w:t>[68、77-79]</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度：强推荐；共识同意率：完全同意86.51%，</w:t>
      </w:r>
      <w:r>
        <w:rPr>
          <w:rFonts w:hint="eastAsia" w:ascii="黑体" w:hAnsi="黑体" w:eastAsia="黑体" w:cs="黑体"/>
          <w:color w:val="auto"/>
          <w:kern w:val="0"/>
          <w:sz w:val="21"/>
          <w:szCs w:val="21"/>
          <w:lang w:val="en-US" w:eastAsia="zh-CN" w:bidi="ar"/>
        </w:rPr>
        <w:t>同意但保留部分意见12.37%</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】健脾和胃，补虚泻实</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【取穴】食道、胃、脾、神门、交感、内分泌、皮质下、肝、胆。</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【操作】患者取坐位或半仰卧位，以舒适为宜。方法一</w:t>
      </w:r>
      <w:r>
        <w:rPr>
          <w:rFonts w:hint="eastAsia" w:ascii="宋体" w:hAnsi="宋体" w:eastAsia="宋体" w:cs="宋体"/>
          <w:color w:val="auto"/>
          <w:szCs w:val="21"/>
          <w:lang w:eastAsia="zh-CN"/>
        </w:rPr>
        <w:t>、</w:t>
      </w:r>
      <w:r>
        <w:rPr>
          <w:rFonts w:hint="eastAsia" w:ascii="宋体" w:hAnsi="宋体" w:eastAsia="宋体" w:cs="宋体"/>
          <w:color w:val="auto"/>
          <w:szCs w:val="21"/>
        </w:rPr>
        <w:t>毫针刺：选用26～30号0.3～0.5寸无菌毫针，用75%酒精棉球消毒耳廓相应穴位，医者用一手拇指食指固定耳廓，中指托着针刺部位的耳背，另一手拇指、食指持针，在选好的穴位处用快速插入的速刺法或慢慢捻入的慢刺</w:t>
      </w:r>
      <w:r>
        <w:rPr>
          <w:rFonts w:hint="eastAsia" w:ascii="宋体" w:hAnsi="宋体" w:eastAsia="宋体" w:cs="宋体"/>
          <w:color w:val="auto"/>
          <w:szCs w:val="21"/>
          <w:lang w:val="en-US" w:eastAsia="zh-CN"/>
        </w:rPr>
        <w:t>法</w:t>
      </w:r>
      <w:r>
        <w:rPr>
          <w:rFonts w:hint="eastAsia" w:ascii="宋体" w:hAnsi="宋体" w:eastAsia="宋体" w:cs="宋体"/>
          <w:color w:val="auto"/>
          <w:szCs w:val="21"/>
        </w:rPr>
        <w:t>进针，针刺深度以0.1～0.3cm为宜，留针时间15</w:t>
      </w:r>
      <w:r>
        <w:rPr>
          <w:rFonts w:hint="eastAsia" w:ascii="宋体" w:hAnsi="宋体" w:eastAsia="宋体" w:cs="宋体"/>
          <w:color w:val="auto"/>
          <w:sz w:val="21"/>
          <w:szCs w:val="21"/>
          <w:lang w:val="en-US" w:eastAsia="zh-CN"/>
        </w:rPr>
        <w:t>～</w:t>
      </w:r>
      <w:r>
        <w:rPr>
          <w:rFonts w:hint="eastAsia" w:ascii="宋体" w:hAnsi="宋体" w:eastAsia="宋体" w:cs="宋体"/>
          <w:color w:val="auto"/>
          <w:szCs w:val="21"/>
        </w:rPr>
        <w:t>30</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，期间可间隔10～15</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行针1次，出针时迅速将毫针拔出，用消毒干棉球轻压针孔片刻，以防出血。方法二</w:t>
      </w:r>
      <w:r>
        <w:rPr>
          <w:rFonts w:hint="eastAsia" w:ascii="宋体" w:hAnsi="宋体" w:eastAsia="宋体" w:cs="宋体"/>
          <w:color w:val="auto"/>
          <w:szCs w:val="21"/>
          <w:lang w:eastAsia="zh-CN"/>
        </w:rPr>
        <w:t>、</w:t>
      </w:r>
      <w:r>
        <w:rPr>
          <w:rFonts w:hint="eastAsia" w:ascii="宋体" w:hAnsi="宋体" w:eastAsia="宋体" w:cs="宋体"/>
          <w:color w:val="auto"/>
          <w:szCs w:val="21"/>
        </w:rPr>
        <w:t>压丸法：用耳穴探测仪分别找到每一穴区敏感点，在敏感点上逐一放置干燥、坚硬</w:t>
      </w:r>
      <w:r>
        <w:rPr>
          <w:rFonts w:hint="eastAsia" w:ascii="宋体" w:hAnsi="宋体" w:eastAsia="宋体" w:cs="宋体"/>
          <w:color w:val="auto"/>
          <w:szCs w:val="21"/>
          <w:lang w:eastAsia="zh-CN"/>
        </w:rPr>
        <w:t>、</w:t>
      </w:r>
      <w:r>
        <w:rPr>
          <w:rFonts w:hint="eastAsia" w:ascii="宋体" w:hAnsi="宋体" w:eastAsia="宋体" w:cs="宋体"/>
          <w:color w:val="auto"/>
          <w:szCs w:val="21"/>
        </w:rPr>
        <w:t>直径约2mm的王不留行籽一粒，分别用0.5cm×0.5</w:t>
      </w:r>
      <w:r>
        <w:rPr>
          <w:rFonts w:hint="eastAsia" w:ascii="宋体" w:hAnsi="宋体" w:eastAsia="宋体" w:cs="宋体"/>
          <w:color w:val="auto"/>
          <w:szCs w:val="21"/>
          <w:lang w:val="en-US" w:eastAsia="zh-CN"/>
        </w:rPr>
        <w:t>cm</w:t>
      </w:r>
      <w:r>
        <w:rPr>
          <w:rFonts w:hint="eastAsia" w:ascii="宋体" w:hAnsi="宋体" w:eastAsia="宋体" w:cs="宋体"/>
          <w:color w:val="auto"/>
          <w:szCs w:val="21"/>
        </w:rPr>
        <w:t>大小的橡皮膏粘贴固定。嘱患者每日挤捏王不留行籽。每籽挤捏3～5</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，强度以患者感到压籽部位痛如针刺或耳廓发热为度。每日治疗</w:t>
      </w:r>
      <w:r>
        <w:rPr>
          <w:rFonts w:hint="eastAsia" w:ascii="宋体" w:hAnsi="宋体" w:eastAsia="宋体" w:cs="宋体"/>
          <w:color w:val="auto"/>
          <w:szCs w:val="21"/>
          <w:lang w:val="en-US" w:eastAsia="zh-CN"/>
        </w:rPr>
        <w:t>2</w:t>
      </w:r>
      <w:r>
        <w:rPr>
          <w:rFonts w:hint="eastAsia" w:ascii="宋体" w:hAnsi="宋体" w:eastAsia="宋体" w:cs="宋体"/>
          <w:color w:val="auto"/>
          <w:szCs w:val="21"/>
        </w:rPr>
        <w:t>次，10次为1个疗程。</w:t>
      </w:r>
    </w:p>
    <w:p>
      <w:pPr>
        <w:pStyle w:val="2"/>
        <w:keepLines w:val="0"/>
        <w:pageBreakBefore w:val="0"/>
        <w:kinsoku/>
        <w:overflowPunct/>
        <w:topLinePunct w:val="0"/>
        <w:bidi w:val="0"/>
        <w:adjustRightInd/>
        <w:spacing w:line="360" w:lineRule="exact"/>
        <w:ind w:firstLine="420" w:firstLineChars="200"/>
        <w:rPr>
          <w:color w:val="auto"/>
        </w:rPr>
      </w:pPr>
      <w:r>
        <w:rPr>
          <w:rFonts w:hint="eastAsia"/>
          <w:color w:val="auto"/>
        </w:rPr>
        <w:t>【推荐意见】刺激以上耳穴穴位可疏畅中焦、健脾疏肝理气，可有效改善反酸、呃逆等症状。</w:t>
      </w:r>
    </w:p>
    <w:p>
      <w:pPr>
        <w:keepLines w:val="0"/>
        <w:pageBreakBefore w:val="0"/>
        <w:kinsoku/>
        <w:overflowPunct/>
        <w:topLinePunct w:val="0"/>
        <w:bidi w:val="0"/>
        <w:adjustRightInd/>
        <w:spacing w:line="360" w:lineRule="exact"/>
        <w:rPr>
          <w:rFonts w:ascii="宋体" w:hAnsi="宋体" w:eastAsia="宋体" w:cs="宋体"/>
          <w:color w:val="auto"/>
          <w:szCs w:val="21"/>
        </w:rPr>
      </w:pPr>
      <w:r>
        <w:rPr>
          <w:rFonts w:ascii="黑体" w:hAnsi="黑体" w:eastAsia="黑体" w:cs="黑体"/>
          <w:color w:val="auto"/>
          <w:szCs w:val="21"/>
        </w:rPr>
        <w:t>7.</w:t>
      </w:r>
      <w:r>
        <w:rPr>
          <w:rFonts w:hint="eastAsia" w:ascii="黑体" w:hAnsi="黑体" w:eastAsia="黑体" w:cs="黑体"/>
          <w:color w:val="auto"/>
          <w:szCs w:val="21"/>
          <w:lang w:val="en-US" w:eastAsia="zh-CN"/>
        </w:rPr>
        <w:t>3</w:t>
      </w:r>
      <w:r>
        <w:rPr>
          <w:rFonts w:ascii="黑体" w:hAnsi="黑体" w:eastAsia="黑体" w:cs="黑体"/>
          <w:color w:val="auto"/>
          <w:szCs w:val="21"/>
        </w:rPr>
        <w:t>.2.5 推拿</w:t>
      </w:r>
      <w:r>
        <w:rPr>
          <w:rFonts w:hint="eastAsia" w:ascii="宋体" w:hAnsi="宋体" w:eastAsia="宋体" w:cs="宋体"/>
          <w:color w:val="auto"/>
          <w:szCs w:val="21"/>
          <w:vertAlign w:val="superscript"/>
          <w:lang w:val="en-US" w:eastAsia="zh-CN"/>
        </w:rPr>
        <w:t>[80]</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度：强推荐；共识同意率：完全同意85.38%，</w:t>
      </w:r>
      <w:r>
        <w:rPr>
          <w:rFonts w:hint="eastAsia" w:ascii="黑体" w:hAnsi="黑体" w:eastAsia="黑体" w:cs="黑体"/>
          <w:color w:val="auto"/>
          <w:kern w:val="0"/>
          <w:sz w:val="21"/>
          <w:szCs w:val="21"/>
          <w:lang w:val="en-US" w:eastAsia="zh-CN" w:bidi="ar"/>
        </w:rPr>
        <w:t>同意但保留部分意见12.37%</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ascii="宋体" w:hAnsi="宋体" w:eastAsia="宋体" w:cs="宋体"/>
          <w:color w:val="auto"/>
          <w:szCs w:val="21"/>
        </w:rPr>
        <w:t>【部位】胃脘部；膀胱经；中脘、气海、天枢、足三里、肝俞、脾俞、胃俞、三焦俞、手三里、内关、合谷等穴位</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ascii="宋体" w:hAnsi="宋体" w:eastAsia="宋体" w:cs="宋体"/>
          <w:color w:val="auto"/>
          <w:szCs w:val="21"/>
        </w:rPr>
        <w:t>【手法】一指禅推法、摩法、按法、揉法、搓法等</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】扶正</w:t>
      </w:r>
      <w:r>
        <w:rPr>
          <w:rFonts w:ascii="宋体" w:hAnsi="宋体" w:eastAsia="宋体" w:cs="宋体"/>
          <w:color w:val="auto"/>
          <w:szCs w:val="21"/>
        </w:rPr>
        <w:t>祛邪</w:t>
      </w:r>
      <w:r>
        <w:rPr>
          <w:rFonts w:hint="eastAsia" w:ascii="宋体" w:hAnsi="宋体" w:eastAsia="宋体" w:cs="宋体"/>
          <w:color w:val="auto"/>
          <w:szCs w:val="21"/>
        </w:rPr>
        <w:t>，健脾和胃</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ascii="宋体" w:hAnsi="宋体" w:eastAsia="宋体" w:cs="宋体"/>
          <w:color w:val="auto"/>
          <w:szCs w:val="21"/>
        </w:rPr>
        <w:t>【操作】第一步，患者仰卧位，医者坐于患者右侧，先用轻快</w:t>
      </w:r>
      <w:r>
        <w:rPr>
          <w:rFonts w:hint="eastAsia" w:ascii="宋体" w:hAnsi="宋体" w:eastAsia="宋体" w:cs="宋体"/>
          <w:color w:val="auto"/>
          <w:szCs w:val="21"/>
          <w:lang w:val="en-US" w:eastAsia="zh-CN"/>
        </w:rPr>
        <w:t>的</w:t>
      </w:r>
      <w:r>
        <w:rPr>
          <w:rFonts w:ascii="宋体" w:hAnsi="宋体" w:eastAsia="宋体" w:cs="宋体"/>
          <w:color w:val="auto"/>
          <w:szCs w:val="21"/>
        </w:rPr>
        <w:t>一指禅推法、摩法在胃脘部治疗，使热量渗透于胃腑，然后按、揉中脘、气海、天枢等穴，同时配合按揉足三里</w:t>
      </w:r>
      <w:r>
        <w:rPr>
          <w:rFonts w:hint="eastAsia" w:ascii="宋体" w:hAnsi="宋体" w:eastAsia="宋体" w:cs="宋体"/>
          <w:color w:val="auto"/>
          <w:szCs w:val="21"/>
          <w:lang w:eastAsia="zh-CN"/>
        </w:rPr>
        <w:t>，</w:t>
      </w:r>
      <w:r>
        <w:rPr>
          <w:rFonts w:ascii="宋体" w:hAnsi="宋体" w:eastAsia="宋体" w:cs="宋体"/>
          <w:color w:val="auto"/>
          <w:szCs w:val="21"/>
        </w:rPr>
        <w:t>时间约10</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ascii="宋体" w:hAnsi="宋体" w:eastAsia="宋体" w:cs="宋体"/>
          <w:color w:val="auto"/>
          <w:szCs w:val="21"/>
        </w:rPr>
        <w:t>第二步，患者俯卧位，用一指禅推法，从背部脊柱两旁沿膀胱经自上而下至三焦俞，往返4</w:t>
      </w:r>
      <w:r>
        <w:rPr>
          <w:rFonts w:hint="eastAsia" w:ascii="宋体" w:hAnsi="宋体" w:eastAsia="宋体" w:cs="宋体"/>
          <w:color w:val="auto"/>
          <w:szCs w:val="21"/>
        </w:rPr>
        <w:t>～</w:t>
      </w:r>
      <w:r>
        <w:rPr>
          <w:rFonts w:ascii="宋体" w:hAnsi="宋体" w:eastAsia="宋体" w:cs="宋体"/>
          <w:color w:val="auto"/>
          <w:szCs w:val="21"/>
        </w:rPr>
        <w:t>5次，然后用较重的按、揉法于肝俞、脾俞、胃俞、三焦俞</w:t>
      </w:r>
      <w:r>
        <w:rPr>
          <w:rFonts w:hint="eastAsia" w:ascii="宋体" w:hAnsi="宋体" w:eastAsia="宋体" w:cs="宋体"/>
          <w:color w:val="auto"/>
          <w:szCs w:val="21"/>
          <w:lang w:eastAsia="zh-CN"/>
        </w:rPr>
        <w:t>，</w:t>
      </w:r>
      <w:r>
        <w:rPr>
          <w:rFonts w:ascii="宋体" w:hAnsi="宋体" w:eastAsia="宋体" w:cs="宋体"/>
          <w:color w:val="auto"/>
          <w:szCs w:val="21"/>
        </w:rPr>
        <w:t>时间约5</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ascii="宋体" w:hAnsi="宋体" w:eastAsia="宋体" w:cs="宋体"/>
          <w:color w:val="auto"/>
          <w:szCs w:val="21"/>
        </w:rPr>
        <w:t>第三步，患者取坐势，拿肩井循臂肘而下，在手三里、内关、合谷等穴作较强的刺激。然后搓肩臂使经络畅通，再搓抹其两胁，由上而下往返数次。以上治疗均</w:t>
      </w:r>
      <w:r>
        <w:rPr>
          <w:rFonts w:hint="eastAsia" w:ascii="宋体" w:hAnsi="宋体" w:eastAsia="宋体" w:cs="宋体"/>
          <w:color w:val="auto"/>
          <w:szCs w:val="21"/>
          <w:lang w:val="en-US" w:eastAsia="zh-CN"/>
        </w:rPr>
        <w:t>每日</w:t>
      </w:r>
      <w:r>
        <w:rPr>
          <w:rFonts w:ascii="宋体" w:hAnsi="宋体" w:eastAsia="宋体" w:cs="宋体"/>
          <w:color w:val="auto"/>
          <w:szCs w:val="21"/>
        </w:rPr>
        <w:t>1次，10次为1个疗程，连续治疗2个疗程。</w:t>
      </w:r>
    </w:p>
    <w:p>
      <w:pPr>
        <w:keepLines w:val="0"/>
        <w:pageBreakBefore w:val="0"/>
        <w:kinsoku/>
        <w:overflowPunct/>
        <w:topLinePunct w:val="0"/>
        <w:bidi w:val="0"/>
        <w:adjustRightInd/>
        <w:spacing w:line="360" w:lineRule="exact"/>
        <w:ind w:firstLine="420" w:firstLineChars="200"/>
        <w:rPr>
          <w:color w:val="auto"/>
        </w:rPr>
      </w:pPr>
      <w:r>
        <w:rPr>
          <w:rFonts w:hint="eastAsia"/>
          <w:color w:val="auto"/>
        </w:rPr>
        <w:t>【推荐意见】</w:t>
      </w:r>
      <w:r>
        <w:rPr>
          <w:rFonts w:hint="eastAsia" w:ascii="宋体" w:hAnsi="宋体" w:eastAsia="宋体" w:cs="宋体"/>
          <w:color w:val="auto"/>
          <w:szCs w:val="21"/>
        </w:rPr>
        <w:t>推拿</w:t>
      </w:r>
      <w:r>
        <w:rPr>
          <w:rFonts w:ascii="宋体" w:hAnsi="宋体" w:eastAsia="宋体" w:cs="宋体"/>
          <w:color w:val="auto"/>
          <w:szCs w:val="21"/>
        </w:rPr>
        <w:t>作为中医外治法重要组成部分，根据脏腑经络理论，在特定的腧穴、经络、疼痛部位等，运用推、拿、按、摩、揉、捏、点、拍等手法，起到调理脏腑气血、疏通经络、祛邪扶正的作用</w:t>
      </w:r>
      <w:r>
        <w:rPr>
          <w:rFonts w:hint="eastAsia" w:ascii="宋体" w:hAnsi="宋体" w:eastAsia="宋体" w:cs="宋体"/>
          <w:color w:val="auto"/>
          <w:vertAlign w:val="superscript"/>
          <w:lang w:val="en-US" w:eastAsia="zh-CN"/>
        </w:rPr>
        <w:t>[81]</w:t>
      </w:r>
      <w:r>
        <w:rPr>
          <w:rFonts w:ascii="宋体" w:hAnsi="宋体" w:eastAsia="宋体" w:cs="宋体"/>
          <w:color w:val="auto"/>
          <w:szCs w:val="21"/>
        </w:rPr>
        <w:t>，可有效缓解食管癌前病变相关临床症状</w:t>
      </w:r>
      <w:r>
        <w:rPr>
          <w:rFonts w:hint="eastAsia" w:ascii="宋体" w:hAnsi="宋体" w:eastAsia="宋体" w:cs="宋体"/>
          <w:color w:val="auto"/>
          <w:vertAlign w:val="superscript"/>
          <w:lang w:val="en-US" w:eastAsia="zh-CN"/>
        </w:rPr>
        <w:t>[3]</w:t>
      </w:r>
      <w:r>
        <w:rPr>
          <w:rFonts w:ascii="宋体" w:hAnsi="宋体" w:eastAsia="宋体" w:cs="宋体"/>
          <w:color w:val="auto"/>
          <w:szCs w:val="21"/>
        </w:rPr>
        <w:t>。</w:t>
      </w:r>
    </w:p>
    <w:p>
      <w:pPr>
        <w:keepLines w:val="0"/>
        <w:pageBreakBefore w:val="0"/>
        <w:kinsoku/>
        <w:overflowPunct/>
        <w:topLinePunct w:val="0"/>
        <w:bidi w:val="0"/>
        <w:adjustRightInd/>
        <w:spacing w:line="360" w:lineRule="exact"/>
        <w:rPr>
          <w:rFonts w:ascii="宋体" w:hAnsi="宋体" w:eastAsia="宋体" w:cs="宋体"/>
          <w:color w:val="auto"/>
          <w:szCs w:val="21"/>
        </w:rPr>
      </w:pPr>
      <w:r>
        <w:rPr>
          <w:rFonts w:hint="eastAsia" w:ascii="黑体" w:hAnsi="黑体" w:eastAsia="黑体" w:cs="黑体"/>
          <w:b w:val="0"/>
          <w:bCs w:val="0"/>
          <w:color w:val="auto"/>
          <w:szCs w:val="21"/>
        </w:rPr>
        <w:t>7.</w:t>
      </w:r>
      <w:r>
        <w:rPr>
          <w:rFonts w:hint="eastAsia" w:ascii="黑体" w:hAnsi="黑体" w:eastAsia="黑体" w:cs="黑体"/>
          <w:b w:val="0"/>
          <w:bCs w:val="0"/>
          <w:color w:val="auto"/>
          <w:szCs w:val="21"/>
          <w:lang w:val="en-US" w:eastAsia="zh-CN"/>
        </w:rPr>
        <w:t>3</w:t>
      </w:r>
      <w:r>
        <w:rPr>
          <w:rFonts w:hint="eastAsia" w:ascii="黑体" w:hAnsi="黑体" w:eastAsia="黑体" w:cs="黑体"/>
          <w:b w:val="0"/>
          <w:bCs w:val="0"/>
          <w:color w:val="auto"/>
          <w:szCs w:val="21"/>
        </w:rPr>
        <w:t>.2.6 敷贴熏洗</w:t>
      </w:r>
      <w:r>
        <w:rPr>
          <w:rFonts w:hint="eastAsia" w:ascii="宋体" w:hAnsi="宋体" w:eastAsia="宋体" w:cs="宋体"/>
          <w:color w:val="auto"/>
          <w:szCs w:val="21"/>
          <w:vertAlign w:val="superscript"/>
          <w:lang w:val="en-US" w:eastAsia="zh-CN"/>
        </w:rPr>
        <w:t>[82-85]</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度：强推荐；共识同意率：完全同意80.88%，</w:t>
      </w:r>
      <w:r>
        <w:rPr>
          <w:rFonts w:hint="eastAsia" w:ascii="黑体" w:hAnsi="黑体" w:eastAsia="黑体" w:cs="黑体"/>
          <w:color w:val="auto"/>
          <w:kern w:val="0"/>
          <w:sz w:val="21"/>
          <w:szCs w:val="21"/>
          <w:lang w:val="en-US" w:eastAsia="zh-CN" w:bidi="ar"/>
        </w:rPr>
        <w:t>同意但保留部分意见18.01%</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b w:val="0"/>
          <w:bCs w:val="0"/>
          <w:color w:val="auto"/>
          <w:szCs w:val="21"/>
        </w:rPr>
        <w:t>敷贴方药1</w:t>
      </w:r>
      <w:r>
        <w:rPr>
          <w:rFonts w:hint="eastAsia" w:ascii="宋体" w:hAnsi="宋体" w:eastAsia="宋体" w:cs="宋体"/>
          <w:b w:val="0"/>
          <w:bCs w:val="0"/>
          <w:color w:val="auto"/>
          <w:szCs w:val="21"/>
          <w:vertAlign w:val="superscript"/>
          <w:lang w:val="en-US" w:eastAsia="zh-CN"/>
        </w:rPr>
        <w:t>[86]</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【方药】</w:t>
      </w:r>
      <w:r>
        <w:rPr>
          <w:rFonts w:ascii="宋体" w:hAnsi="宋体" w:eastAsia="宋体" w:cs="宋体"/>
          <w:color w:val="auto"/>
          <w:szCs w:val="21"/>
        </w:rPr>
        <w:t>厚朴、丁香、砂仁、</w:t>
      </w:r>
      <w:r>
        <w:rPr>
          <w:rFonts w:hint="eastAsia" w:ascii="宋体" w:hAnsi="宋体" w:eastAsia="宋体" w:cs="宋体"/>
          <w:color w:val="auto"/>
          <w:szCs w:val="21"/>
          <w:lang w:val="en-US" w:eastAsia="zh-CN"/>
        </w:rPr>
        <w:t>生</w:t>
      </w:r>
      <w:r>
        <w:rPr>
          <w:rFonts w:ascii="宋体" w:hAnsi="宋体" w:eastAsia="宋体" w:cs="宋体"/>
          <w:color w:val="auto"/>
          <w:szCs w:val="21"/>
        </w:rPr>
        <w:t>大黄各3g，半夏、枳壳、升麻各6g，柿蒂、槟榔、九香虫各10g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w:t>
      </w:r>
      <w:r>
        <w:rPr>
          <w:rFonts w:ascii="宋体" w:hAnsi="宋体" w:eastAsia="宋体" w:cs="宋体"/>
          <w:color w:val="auto"/>
          <w:szCs w:val="21"/>
        </w:rPr>
        <w:t>健脾理气，和胃降逆</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w:t>
      </w:r>
      <w:r>
        <w:rPr>
          <w:rFonts w:ascii="宋体" w:hAnsi="宋体" w:eastAsia="宋体" w:cs="宋体"/>
          <w:color w:val="auto"/>
          <w:szCs w:val="21"/>
        </w:rPr>
        <w:t>操作</w:t>
      </w:r>
      <w:r>
        <w:rPr>
          <w:rFonts w:hint="eastAsia" w:ascii="宋体" w:hAnsi="宋体" w:eastAsia="宋体" w:cs="宋体"/>
          <w:color w:val="auto"/>
          <w:szCs w:val="21"/>
        </w:rPr>
        <w:t>】</w:t>
      </w:r>
      <w:r>
        <w:rPr>
          <w:rFonts w:ascii="宋体" w:hAnsi="宋体" w:eastAsia="宋体" w:cs="宋体"/>
          <w:color w:val="auto"/>
          <w:szCs w:val="21"/>
        </w:rPr>
        <w:t>中药研</w:t>
      </w:r>
      <w:r>
        <w:rPr>
          <w:rFonts w:hint="eastAsia" w:ascii="宋体" w:hAnsi="宋体" w:eastAsia="宋体" w:cs="宋体"/>
          <w:color w:val="auto"/>
          <w:szCs w:val="21"/>
        </w:rPr>
        <w:t>末</w:t>
      </w:r>
      <w:r>
        <w:rPr>
          <w:rFonts w:ascii="宋体" w:hAnsi="宋体" w:eastAsia="宋体" w:cs="宋体"/>
          <w:color w:val="auto"/>
          <w:szCs w:val="21"/>
        </w:rPr>
        <w:t>，用温水调为糊状，敷于合谷、胃俞、中脘、膈俞、肝俞、神阙、足三里等穴位，并用胶布固定，睡前敷贴，每日1次，每次12</w:t>
      </w:r>
      <w:r>
        <w:rPr>
          <w:rFonts w:hint="eastAsia" w:ascii="宋体" w:hAnsi="宋体" w:eastAsia="宋体" w:cs="宋体"/>
          <w:color w:val="auto"/>
          <w:szCs w:val="21"/>
          <w:lang w:val="en-US" w:eastAsia="zh-CN"/>
        </w:rPr>
        <w:t>小时</w:t>
      </w:r>
      <w:r>
        <w:rPr>
          <w:rFonts w:ascii="宋体" w:hAnsi="宋体" w:eastAsia="宋体" w:cs="宋体"/>
          <w:color w:val="auto"/>
          <w:szCs w:val="21"/>
        </w:rPr>
        <w:t>，治疗1周。</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b w:val="0"/>
          <w:bCs w:val="0"/>
          <w:color w:val="auto"/>
          <w:szCs w:val="21"/>
        </w:rPr>
        <w:t>敷贴方药2</w:t>
      </w:r>
      <w:r>
        <w:rPr>
          <w:rFonts w:hint="eastAsia" w:ascii="宋体" w:hAnsi="宋体" w:eastAsia="宋体" w:cs="宋体"/>
          <w:b w:val="0"/>
          <w:bCs w:val="0"/>
          <w:color w:val="auto"/>
          <w:szCs w:val="21"/>
          <w:vertAlign w:val="superscript"/>
          <w:lang w:val="en-US" w:eastAsia="zh-CN"/>
        </w:rPr>
        <w:t>[87]</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【方药】蜈蚣</w:t>
      </w:r>
      <w:r>
        <w:rPr>
          <w:rFonts w:ascii="宋体" w:hAnsi="宋体" w:eastAsia="宋体" w:cs="宋体"/>
          <w:color w:val="auto"/>
          <w:szCs w:val="21"/>
        </w:rPr>
        <w:t>20g</w:t>
      </w:r>
      <w:r>
        <w:rPr>
          <w:rFonts w:hint="eastAsia" w:ascii="宋体" w:hAnsi="宋体" w:eastAsia="宋体" w:cs="宋体"/>
          <w:color w:val="auto"/>
          <w:szCs w:val="21"/>
          <w:lang w:eastAsia="zh-CN"/>
        </w:rPr>
        <w:t>，</w:t>
      </w:r>
      <w:r>
        <w:rPr>
          <w:rFonts w:ascii="宋体" w:hAnsi="宋体" w:eastAsia="宋体" w:cs="宋体"/>
          <w:color w:val="auto"/>
          <w:szCs w:val="21"/>
        </w:rPr>
        <w:t>马勃12g</w:t>
      </w:r>
      <w:r>
        <w:rPr>
          <w:rFonts w:hint="eastAsia" w:ascii="宋体" w:hAnsi="宋体" w:eastAsia="宋体" w:cs="宋体"/>
          <w:color w:val="auto"/>
          <w:szCs w:val="21"/>
          <w:lang w:eastAsia="zh-CN"/>
        </w:rPr>
        <w:t>，</w:t>
      </w:r>
      <w:r>
        <w:rPr>
          <w:rFonts w:ascii="宋体" w:hAnsi="宋体" w:eastAsia="宋体" w:cs="宋体"/>
          <w:color w:val="auto"/>
          <w:szCs w:val="21"/>
        </w:rPr>
        <w:t>半枝莲10g</w:t>
      </w:r>
      <w:r>
        <w:rPr>
          <w:rFonts w:hint="eastAsia" w:ascii="宋体" w:hAnsi="宋体" w:eastAsia="宋体" w:cs="宋体"/>
          <w:color w:val="auto"/>
          <w:szCs w:val="21"/>
          <w:lang w:eastAsia="zh-CN"/>
        </w:rPr>
        <w:t>，</w:t>
      </w:r>
      <w:r>
        <w:rPr>
          <w:rFonts w:ascii="宋体" w:hAnsi="宋体" w:eastAsia="宋体" w:cs="宋体"/>
          <w:color w:val="auto"/>
          <w:szCs w:val="21"/>
        </w:rPr>
        <w:t>连翘15g</w:t>
      </w:r>
      <w:r>
        <w:rPr>
          <w:rFonts w:hint="eastAsia" w:ascii="宋体" w:hAnsi="宋体" w:eastAsia="宋体" w:cs="宋体"/>
          <w:color w:val="auto"/>
          <w:szCs w:val="21"/>
          <w:lang w:eastAsia="zh-CN"/>
        </w:rPr>
        <w:t>，</w:t>
      </w:r>
      <w:r>
        <w:rPr>
          <w:rFonts w:ascii="宋体" w:hAnsi="宋体" w:eastAsia="宋体" w:cs="宋体"/>
          <w:color w:val="auto"/>
          <w:szCs w:val="21"/>
        </w:rPr>
        <w:t>土茯苓20g</w:t>
      </w:r>
      <w:r>
        <w:rPr>
          <w:rFonts w:hint="eastAsia" w:ascii="宋体" w:hAnsi="宋体" w:eastAsia="宋体" w:cs="宋体"/>
          <w:color w:val="auto"/>
          <w:szCs w:val="21"/>
          <w:lang w:eastAsia="zh-CN"/>
        </w:rPr>
        <w:t>，</w:t>
      </w:r>
      <w:r>
        <w:rPr>
          <w:rFonts w:ascii="宋体" w:hAnsi="宋体" w:eastAsia="宋体" w:cs="宋体"/>
          <w:color w:val="auto"/>
          <w:szCs w:val="21"/>
        </w:rPr>
        <w:t>甘遂12g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】解毒消痈，活血通络</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【操作】中药研末，用生姜汁调稠，做成</w:t>
      </w:r>
      <w:r>
        <w:rPr>
          <w:rFonts w:ascii="宋体" w:hAnsi="宋体" w:eastAsia="宋体" w:cs="宋体"/>
          <w:color w:val="auto"/>
          <w:szCs w:val="21"/>
        </w:rPr>
        <w:t>2</w:t>
      </w:r>
      <w:r>
        <w:rPr>
          <w:rFonts w:hint="eastAsia" w:ascii="宋体" w:hAnsi="宋体" w:eastAsia="宋体" w:cs="宋体"/>
          <w:color w:val="auto"/>
          <w:szCs w:val="21"/>
          <w:lang w:val="en-US" w:eastAsia="zh-CN"/>
        </w:rPr>
        <w:t>cm</w:t>
      </w:r>
      <w:r>
        <w:rPr>
          <w:rFonts w:ascii="宋体" w:hAnsi="宋体" w:eastAsia="宋体" w:cs="宋体"/>
          <w:color w:val="auto"/>
          <w:szCs w:val="21"/>
        </w:rPr>
        <w:t>×2cm，厚为0.5cm的药片，药片贴敷于穴位上</w:t>
      </w:r>
      <w:r>
        <w:rPr>
          <w:rFonts w:hint="eastAsia" w:ascii="宋体" w:hAnsi="宋体" w:eastAsia="宋体" w:cs="宋体"/>
          <w:color w:val="auto"/>
          <w:szCs w:val="21"/>
        </w:rPr>
        <w:t>：</w:t>
      </w:r>
      <w:r>
        <w:rPr>
          <w:rFonts w:ascii="宋体" w:hAnsi="宋体" w:eastAsia="宋体" w:cs="宋体"/>
          <w:color w:val="auto"/>
          <w:szCs w:val="21"/>
        </w:rPr>
        <w:t>肺俞</w:t>
      </w:r>
      <w:r>
        <w:rPr>
          <w:rFonts w:hint="eastAsia" w:ascii="宋体" w:hAnsi="宋体" w:eastAsia="宋体" w:cs="宋体"/>
          <w:color w:val="auto"/>
          <w:szCs w:val="21"/>
        </w:rPr>
        <w:t>（</w:t>
      </w:r>
      <w:r>
        <w:rPr>
          <w:rFonts w:ascii="宋体" w:hAnsi="宋体" w:eastAsia="宋体" w:cs="宋体"/>
          <w:color w:val="auto"/>
          <w:szCs w:val="21"/>
        </w:rPr>
        <w:t>双侧</w:t>
      </w:r>
      <w:r>
        <w:rPr>
          <w:rFonts w:hint="eastAsia" w:ascii="宋体" w:hAnsi="宋体" w:eastAsia="宋体" w:cs="宋体"/>
          <w:color w:val="auto"/>
          <w:szCs w:val="21"/>
        </w:rPr>
        <w:t>）</w:t>
      </w:r>
      <w:r>
        <w:rPr>
          <w:rFonts w:ascii="宋体" w:hAnsi="宋体" w:eastAsia="宋体" w:cs="宋体"/>
          <w:color w:val="auto"/>
          <w:szCs w:val="21"/>
        </w:rPr>
        <w:t>、肾俞穴</w:t>
      </w:r>
      <w:r>
        <w:rPr>
          <w:rFonts w:hint="eastAsia" w:ascii="宋体" w:hAnsi="宋体" w:eastAsia="宋体" w:cs="宋体"/>
          <w:color w:val="auto"/>
          <w:szCs w:val="21"/>
        </w:rPr>
        <w:t>（</w:t>
      </w:r>
      <w:r>
        <w:rPr>
          <w:rFonts w:ascii="宋体" w:hAnsi="宋体" w:eastAsia="宋体" w:cs="宋体"/>
          <w:color w:val="auto"/>
          <w:szCs w:val="21"/>
        </w:rPr>
        <w:t>双侧</w:t>
      </w:r>
      <w:r>
        <w:rPr>
          <w:rFonts w:hint="eastAsia" w:ascii="宋体" w:hAnsi="宋体" w:eastAsia="宋体" w:cs="宋体"/>
          <w:color w:val="auto"/>
          <w:szCs w:val="21"/>
        </w:rPr>
        <w:t>）</w:t>
      </w:r>
      <w:r>
        <w:rPr>
          <w:rFonts w:ascii="宋体" w:hAnsi="宋体" w:eastAsia="宋体" w:cs="宋体"/>
          <w:color w:val="auto"/>
          <w:szCs w:val="21"/>
        </w:rPr>
        <w:t>、膈俞</w:t>
      </w:r>
      <w:r>
        <w:rPr>
          <w:rFonts w:hint="eastAsia" w:ascii="宋体" w:hAnsi="宋体" w:eastAsia="宋体" w:cs="宋体"/>
          <w:color w:val="auto"/>
          <w:szCs w:val="21"/>
        </w:rPr>
        <w:t>（</w:t>
      </w:r>
      <w:r>
        <w:rPr>
          <w:rFonts w:ascii="宋体" w:hAnsi="宋体" w:eastAsia="宋体" w:cs="宋体"/>
          <w:color w:val="auto"/>
          <w:szCs w:val="21"/>
        </w:rPr>
        <w:t>双侧</w:t>
      </w:r>
      <w:r>
        <w:rPr>
          <w:rFonts w:hint="eastAsia" w:ascii="宋体" w:hAnsi="宋体" w:eastAsia="宋体" w:cs="宋体"/>
          <w:color w:val="auto"/>
          <w:szCs w:val="21"/>
        </w:rPr>
        <w:t>）</w:t>
      </w:r>
      <w:r>
        <w:rPr>
          <w:rFonts w:ascii="宋体" w:hAnsi="宋体" w:eastAsia="宋体" w:cs="宋体"/>
          <w:color w:val="auto"/>
          <w:szCs w:val="21"/>
        </w:rPr>
        <w:t>、膻中、膏肓、大椎，</w:t>
      </w:r>
      <w:r>
        <w:rPr>
          <w:rFonts w:hint="eastAsia" w:ascii="宋体" w:hAnsi="宋体" w:eastAsia="宋体" w:cs="宋体"/>
          <w:color w:val="auto"/>
          <w:szCs w:val="21"/>
        </w:rPr>
        <w:t>每次选择</w:t>
      </w:r>
      <w:r>
        <w:rPr>
          <w:rFonts w:ascii="宋体" w:hAnsi="宋体" w:eastAsia="宋体" w:cs="宋体"/>
          <w:color w:val="auto"/>
          <w:szCs w:val="21"/>
        </w:rPr>
        <w:t>4个穴位，每穴1片，贴敷6</w:t>
      </w:r>
      <w:r>
        <w:rPr>
          <w:rFonts w:hint="eastAsia" w:ascii="宋体" w:hAnsi="宋体" w:eastAsia="宋体" w:cs="宋体"/>
          <w:color w:val="auto"/>
          <w:szCs w:val="21"/>
          <w:lang w:val="en-US" w:eastAsia="zh-CN"/>
        </w:rPr>
        <w:t>小时</w:t>
      </w:r>
      <w:r>
        <w:rPr>
          <w:rFonts w:ascii="宋体" w:hAnsi="宋体" w:eastAsia="宋体" w:cs="宋体"/>
          <w:color w:val="auto"/>
          <w:szCs w:val="21"/>
        </w:rPr>
        <w:t>揭去，若</w:t>
      </w:r>
      <w:r>
        <w:rPr>
          <w:rFonts w:hint="eastAsia" w:ascii="宋体" w:hAnsi="宋体" w:eastAsia="宋体" w:cs="宋体"/>
          <w:color w:val="auto"/>
          <w:szCs w:val="21"/>
        </w:rPr>
        <w:t>出现</w:t>
      </w:r>
      <w:r>
        <w:rPr>
          <w:rFonts w:ascii="宋体" w:hAnsi="宋体" w:eastAsia="宋体" w:cs="宋体"/>
          <w:color w:val="auto"/>
          <w:szCs w:val="21"/>
        </w:rPr>
        <w:t>皮肤发红</w:t>
      </w:r>
      <w:r>
        <w:rPr>
          <w:rFonts w:hint="eastAsia" w:ascii="宋体" w:hAnsi="宋体" w:eastAsia="宋体" w:cs="宋体"/>
          <w:color w:val="auto"/>
          <w:szCs w:val="21"/>
        </w:rPr>
        <w:t>、</w:t>
      </w:r>
      <w:r>
        <w:rPr>
          <w:rFonts w:ascii="宋体" w:hAnsi="宋体" w:eastAsia="宋体" w:cs="宋体"/>
          <w:color w:val="auto"/>
          <w:szCs w:val="21"/>
        </w:rPr>
        <w:t>局部</w:t>
      </w:r>
      <w:r>
        <w:rPr>
          <w:rFonts w:hint="eastAsia" w:ascii="宋体" w:hAnsi="宋体" w:eastAsia="宋体" w:cs="宋体"/>
          <w:color w:val="auto"/>
          <w:szCs w:val="21"/>
        </w:rPr>
        <w:t>小水泡等情况</w:t>
      </w:r>
      <w:r>
        <w:rPr>
          <w:rFonts w:ascii="宋体" w:hAnsi="宋体" w:eastAsia="宋体" w:cs="宋体"/>
          <w:color w:val="auto"/>
          <w:szCs w:val="21"/>
        </w:rPr>
        <w:t>，可提前揭去</w:t>
      </w:r>
      <w:r>
        <w:rPr>
          <w:rFonts w:hint="eastAsia" w:ascii="宋体" w:hAnsi="宋体" w:eastAsia="宋体" w:cs="宋体"/>
          <w:color w:val="auto"/>
          <w:szCs w:val="21"/>
        </w:rPr>
        <w:t>，</w:t>
      </w:r>
      <w:r>
        <w:rPr>
          <w:rFonts w:ascii="宋体" w:hAnsi="宋体" w:eastAsia="宋体" w:cs="宋体"/>
          <w:color w:val="auto"/>
          <w:szCs w:val="21"/>
        </w:rPr>
        <w:t>连续治疗6周。</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b w:val="0"/>
          <w:bCs w:val="0"/>
          <w:color w:val="auto"/>
          <w:szCs w:val="21"/>
        </w:rPr>
        <w:t>熏洗方药1</w:t>
      </w:r>
      <w:r>
        <w:rPr>
          <w:rFonts w:hint="eastAsia" w:ascii="宋体" w:hAnsi="宋体" w:eastAsia="宋体" w:cs="宋体"/>
          <w:b w:val="0"/>
          <w:bCs w:val="0"/>
          <w:color w:val="auto"/>
          <w:szCs w:val="21"/>
          <w:vertAlign w:val="superscript"/>
          <w:lang w:val="en-US" w:eastAsia="zh-CN"/>
        </w:rPr>
        <w:t>[88]</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【方药】生白术</w:t>
      </w:r>
      <w:r>
        <w:rPr>
          <w:rFonts w:ascii="宋体" w:hAnsi="宋体" w:eastAsia="宋体" w:cs="宋体"/>
          <w:color w:val="auto"/>
          <w:szCs w:val="21"/>
        </w:rPr>
        <w:t>40g</w:t>
      </w:r>
      <w:r>
        <w:rPr>
          <w:rFonts w:hint="eastAsia" w:ascii="宋体" w:hAnsi="宋体" w:eastAsia="宋体" w:cs="宋体"/>
          <w:color w:val="auto"/>
          <w:szCs w:val="21"/>
          <w:lang w:eastAsia="zh-CN"/>
        </w:rPr>
        <w:t>，</w:t>
      </w:r>
      <w:r>
        <w:rPr>
          <w:rFonts w:ascii="宋体" w:hAnsi="宋体" w:eastAsia="宋体" w:cs="宋体"/>
          <w:color w:val="auto"/>
          <w:szCs w:val="21"/>
        </w:rPr>
        <w:t>槟榔20g</w:t>
      </w:r>
      <w:r>
        <w:rPr>
          <w:rFonts w:hint="eastAsia" w:ascii="宋体" w:hAnsi="宋体" w:eastAsia="宋体" w:cs="宋体"/>
          <w:color w:val="auto"/>
          <w:szCs w:val="21"/>
          <w:lang w:eastAsia="zh-CN"/>
        </w:rPr>
        <w:t>，</w:t>
      </w:r>
      <w:r>
        <w:rPr>
          <w:rFonts w:ascii="宋体" w:hAnsi="宋体" w:eastAsia="宋体" w:cs="宋体"/>
          <w:color w:val="auto"/>
          <w:szCs w:val="21"/>
        </w:rPr>
        <w:t>玄参20g</w:t>
      </w:r>
      <w:r>
        <w:rPr>
          <w:rFonts w:hint="eastAsia" w:ascii="宋体" w:hAnsi="宋体" w:eastAsia="宋体" w:cs="宋体"/>
          <w:color w:val="auto"/>
          <w:szCs w:val="21"/>
          <w:lang w:eastAsia="zh-CN"/>
        </w:rPr>
        <w:t>，</w:t>
      </w:r>
      <w:r>
        <w:rPr>
          <w:rFonts w:ascii="宋体" w:hAnsi="宋体" w:eastAsia="宋体" w:cs="宋体"/>
          <w:color w:val="auto"/>
          <w:szCs w:val="21"/>
        </w:rPr>
        <w:t>决明子40g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】健脾益气，理气和胃</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【操作】中药</w:t>
      </w:r>
      <w:r>
        <w:rPr>
          <w:rFonts w:ascii="宋体" w:hAnsi="宋体" w:eastAsia="宋体" w:cs="宋体"/>
          <w:color w:val="auto"/>
          <w:szCs w:val="21"/>
        </w:rPr>
        <w:t>研末</w:t>
      </w:r>
      <w:r>
        <w:rPr>
          <w:rFonts w:hint="eastAsia" w:ascii="宋体" w:hAnsi="宋体" w:eastAsia="宋体" w:cs="宋体"/>
          <w:color w:val="auto"/>
          <w:szCs w:val="21"/>
        </w:rPr>
        <w:t>，</w:t>
      </w:r>
      <w:r>
        <w:rPr>
          <w:rFonts w:ascii="宋体" w:hAnsi="宋体" w:eastAsia="宋体" w:cs="宋体"/>
          <w:color w:val="auto"/>
          <w:szCs w:val="21"/>
        </w:rPr>
        <w:t>置于无纺布袋中</w:t>
      </w:r>
      <w:r>
        <w:rPr>
          <w:rFonts w:hint="eastAsia" w:ascii="宋体" w:hAnsi="宋体" w:eastAsia="宋体" w:cs="宋体"/>
          <w:color w:val="auto"/>
          <w:szCs w:val="21"/>
        </w:rPr>
        <w:t>，放入盆中，加入</w:t>
      </w:r>
      <w:r>
        <w:rPr>
          <w:rFonts w:ascii="宋体" w:hAnsi="宋体" w:eastAsia="宋体" w:cs="宋体"/>
          <w:color w:val="auto"/>
          <w:szCs w:val="21"/>
        </w:rPr>
        <w:t>90</w:t>
      </w:r>
      <w:r>
        <w:rPr>
          <w:rFonts w:hint="eastAsia" w:ascii="宋体" w:hAnsi="宋体" w:eastAsia="宋体" w:cs="宋体"/>
          <w:color w:val="auto"/>
          <w:szCs w:val="21"/>
        </w:rPr>
        <w:t>～</w:t>
      </w:r>
      <w:r>
        <w:rPr>
          <w:rFonts w:ascii="宋体" w:hAnsi="宋体" w:eastAsia="宋体" w:cs="宋体"/>
          <w:color w:val="auto"/>
          <w:szCs w:val="21"/>
        </w:rPr>
        <w:t>100℃的热水</w:t>
      </w:r>
      <w:r>
        <w:rPr>
          <w:rFonts w:hint="eastAsia" w:ascii="宋体" w:hAnsi="宋体" w:eastAsia="宋体" w:cs="宋体"/>
          <w:color w:val="auto"/>
          <w:szCs w:val="21"/>
        </w:rPr>
        <w:t>约3</w:t>
      </w:r>
      <w:r>
        <w:rPr>
          <w:rFonts w:ascii="宋体" w:hAnsi="宋体" w:eastAsia="宋体" w:cs="宋体"/>
          <w:color w:val="auto"/>
          <w:szCs w:val="21"/>
        </w:rPr>
        <w:t>000</w:t>
      </w:r>
      <w:r>
        <w:rPr>
          <w:rFonts w:hint="eastAsia" w:ascii="宋体" w:hAnsi="宋体" w:eastAsia="宋体" w:cs="宋体"/>
          <w:color w:val="auto"/>
          <w:szCs w:val="21"/>
        </w:rPr>
        <w:t>ml，浸泡</w:t>
      </w:r>
      <w:r>
        <w:rPr>
          <w:rFonts w:ascii="宋体" w:hAnsi="宋体" w:eastAsia="宋体" w:cs="宋体"/>
          <w:color w:val="auto"/>
          <w:szCs w:val="21"/>
        </w:rPr>
        <w:t>药袋30</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。控制水温</w:t>
      </w:r>
      <w:r>
        <w:rPr>
          <w:rFonts w:ascii="宋体" w:hAnsi="宋体" w:eastAsia="宋体" w:cs="宋体"/>
          <w:color w:val="auto"/>
          <w:szCs w:val="21"/>
        </w:rPr>
        <w:t>为40</w:t>
      </w:r>
      <w:r>
        <w:rPr>
          <w:rFonts w:hint="eastAsia" w:ascii="宋体" w:hAnsi="宋体" w:eastAsia="宋体" w:cs="宋体"/>
          <w:color w:val="auto"/>
          <w:szCs w:val="21"/>
        </w:rPr>
        <w:t>～</w:t>
      </w:r>
      <w:r>
        <w:rPr>
          <w:rFonts w:ascii="宋体" w:hAnsi="宋体" w:eastAsia="宋体" w:cs="宋体"/>
          <w:color w:val="auto"/>
          <w:szCs w:val="21"/>
        </w:rPr>
        <w:t>50℃</w:t>
      </w:r>
      <w:r>
        <w:rPr>
          <w:rFonts w:hint="eastAsia" w:ascii="宋体" w:hAnsi="宋体" w:eastAsia="宋体" w:cs="宋体"/>
          <w:color w:val="auto"/>
          <w:szCs w:val="21"/>
        </w:rPr>
        <w:t>，</w:t>
      </w:r>
      <w:r>
        <w:rPr>
          <w:rFonts w:ascii="宋体" w:hAnsi="宋体" w:eastAsia="宋体" w:cs="宋体"/>
          <w:color w:val="auto"/>
          <w:szCs w:val="21"/>
        </w:rPr>
        <w:t>协助患者双足泡入</w:t>
      </w:r>
      <w:r>
        <w:rPr>
          <w:rFonts w:hint="eastAsia" w:ascii="宋体" w:hAnsi="宋体" w:eastAsia="宋体" w:cs="宋体"/>
          <w:color w:val="auto"/>
          <w:szCs w:val="21"/>
        </w:rPr>
        <w:t>药液，</w:t>
      </w:r>
      <w:r>
        <w:rPr>
          <w:rFonts w:ascii="宋体" w:hAnsi="宋体" w:eastAsia="宋体" w:cs="宋体"/>
          <w:color w:val="auto"/>
          <w:szCs w:val="21"/>
        </w:rPr>
        <w:t>时间30</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，在中药药液足浴过程中，</w:t>
      </w:r>
      <w:r>
        <w:rPr>
          <w:rFonts w:ascii="宋体" w:hAnsi="宋体" w:eastAsia="宋体" w:cs="宋体"/>
          <w:color w:val="auto"/>
          <w:szCs w:val="21"/>
        </w:rPr>
        <w:t>按摩患者左右脚底涌泉穴</w:t>
      </w:r>
      <w:r>
        <w:rPr>
          <w:rFonts w:hint="eastAsia" w:ascii="宋体" w:hAnsi="宋体" w:eastAsia="宋体" w:cs="宋体"/>
          <w:color w:val="auto"/>
          <w:szCs w:val="21"/>
        </w:rPr>
        <w:t>各</w:t>
      </w:r>
      <w:r>
        <w:rPr>
          <w:rFonts w:ascii="宋体" w:hAnsi="宋体" w:eastAsia="宋体" w:cs="宋体"/>
          <w:color w:val="auto"/>
          <w:szCs w:val="21"/>
        </w:rPr>
        <w:t>15</w:t>
      </w:r>
      <w:r>
        <w:rPr>
          <w:rFonts w:hint="eastAsia" w:ascii="宋体" w:hAnsi="宋体" w:eastAsia="宋体" w:cs="宋体"/>
          <w:color w:val="auto"/>
          <w:szCs w:val="21"/>
          <w:lang w:val="en-US" w:eastAsia="zh-CN"/>
        </w:rPr>
        <w:t>分钟</w:t>
      </w:r>
      <w:r>
        <w:rPr>
          <w:rFonts w:hint="eastAsia" w:ascii="宋体" w:hAnsi="宋体" w:eastAsia="宋体" w:cs="宋体"/>
          <w:color w:val="auto"/>
          <w:szCs w:val="21"/>
        </w:rPr>
        <w:t>，</w:t>
      </w:r>
      <w:r>
        <w:rPr>
          <w:rFonts w:ascii="宋体" w:hAnsi="宋体" w:eastAsia="宋体" w:cs="宋体"/>
          <w:color w:val="auto"/>
          <w:szCs w:val="21"/>
        </w:rPr>
        <w:t>强度以患者感到</w:t>
      </w:r>
      <w:r>
        <w:rPr>
          <w:rFonts w:hint="eastAsia" w:ascii="宋体" w:hAnsi="宋体" w:eastAsia="宋体" w:cs="宋体"/>
          <w:color w:val="auto"/>
          <w:szCs w:val="21"/>
        </w:rPr>
        <w:t>舒适</w:t>
      </w:r>
      <w:r>
        <w:rPr>
          <w:rFonts w:ascii="宋体" w:hAnsi="宋体" w:eastAsia="宋体" w:cs="宋体"/>
          <w:color w:val="auto"/>
          <w:szCs w:val="21"/>
        </w:rPr>
        <w:t>为宜</w:t>
      </w:r>
      <w:r>
        <w:rPr>
          <w:rFonts w:hint="eastAsia" w:ascii="宋体" w:hAnsi="宋体" w:eastAsia="宋体" w:cs="宋体"/>
          <w:color w:val="auto"/>
          <w:szCs w:val="21"/>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b w:val="0"/>
          <w:bCs w:val="0"/>
          <w:color w:val="auto"/>
          <w:szCs w:val="21"/>
        </w:rPr>
        <w:t>熏洗方药2</w:t>
      </w:r>
      <w:r>
        <w:rPr>
          <w:rFonts w:hint="eastAsia" w:ascii="宋体" w:hAnsi="宋体" w:eastAsia="宋体" w:cs="宋体"/>
          <w:b w:val="0"/>
          <w:bCs w:val="0"/>
          <w:color w:val="auto"/>
          <w:szCs w:val="21"/>
          <w:vertAlign w:val="superscript"/>
          <w:lang w:val="en-US" w:eastAsia="zh-CN"/>
        </w:rPr>
        <w:t>[89]</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ascii="宋体" w:hAnsi="宋体" w:eastAsia="宋体" w:cs="宋体"/>
          <w:color w:val="auto"/>
          <w:szCs w:val="21"/>
        </w:rPr>
        <w:t>方药</w:t>
      </w:r>
      <w:r>
        <w:rPr>
          <w:rFonts w:hint="eastAsia" w:ascii="宋体" w:hAnsi="宋体" w:eastAsia="宋体" w:cs="宋体"/>
          <w:color w:val="auto"/>
          <w:szCs w:val="21"/>
        </w:rPr>
        <w:t>】</w:t>
      </w:r>
      <w:r>
        <w:rPr>
          <w:rFonts w:ascii="宋体" w:hAnsi="宋体" w:eastAsia="宋体" w:cs="宋体"/>
          <w:color w:val="auto"/>
          <w:szCs w:val="21"/>
        </w:rPr>
        <w:t>茯苓20g</w:t>
      </w:r>
      <w:r>
        <w:rPr>
          <w:rFonts w:hint="eastAsia" w:ascii="宋体" w:hAnsi="宋体" w:eastAsia="宋体" w:cs="宋体"/>
          <w:color w:val="auto"/>
          <w:szCs w:val="21"/>
          <w:lang w:eastAsia="zh-CN"/>
        </w:rPr>
        <w:t>，</w:t>
      </w:r>
      <w:r>
        <w:rPr>
          <w:rFonts w:ascii="宋体" w:hAnsi="宋体" w:eastAsia="宋体" w:cs="宋体"/>
          <w:color w:val="auto"/>
          <w:szCs w:val="21"/>
        </w:rPr>
        <w:t>桑椹20g</w:t>
      </w:r>
      <w:r>
        <w:rPr>
          <w:rFonts w:hint="eastAsia" w:ascii="宋体" w:hAnsi="宋体" w:eastAsia="宋体" w:cs="宋体"/>
          <w:color w:val="auto"/>
          <w:szCs w:val="21"/>
          <w:lang w:eastAsia="zh-CN"/>
        </w:rPr>
        <w:t>，</w:t>
      </w:r>
      <w:r>
        <w:rPr>
          <w:rFonts w:ascii="宋体" w:hAnsi="宋体" w:eastAsia="宋体" w:cs="宋体"/>
          <w:color w:val="auto"/>
          <w:szCs w:val="21"/>
        </w:rPr>
        <w:t>菊花50g</w:t>
      </w:r>
      <w:r>
        <w:rPr>
          <w:rFonts w:hint="eastAsia" w:ascii="宋体" w:hAnsi="宋体" w:eastAsia="宋体" w:cs="宋体"/>
          <w:color w:val="auto"/>
          <w:szCs w:val="21"/>
          <w:lang w:eastAsia="zh-CN"/>
        </w:rPr>
        <w:t>，</w:t>
      </w:r>
      <w:r>
        <w:rPr>
          <w:rFonts w:ascii="宋体" w:hAnsi="宋体" w:eastAsia="宋体" w:cs="宋体"/>
          <w:color w:val="auto"/>
          <w:szCs w:val="21"/>
        </w:rPr>
        <w:t>黄瓜汁15g</w:t>
      </w:r>
      <w:r>
        <w:rPr>
          <w:rFonts w:hint="eastAsia" w:ascii="宋体" w:hAnsi="宋体" w:eastAsia="宋体" w:cs="宋体"/>
          <w:color w:val="auto"/>
          <w:szCs w:val="21"/>
          <w:lang w:eastAsia="zh-CN"/>
        </w:rPr>
        <w:t>，</w:t>
      </w:r>
      <w:r>
        <w:rPr>
          <w:rFonts w:ascii="宋体" w:hAnsi="宋体" w:eastAsia="宋体" w:cs="宋体"/>
          <w:color w:val="auto"/>
          <w:szCs w:val="21"/>
        </w:rPr>
        <w:t>牛乳15g</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功效</w:t>
      </w:r>
      <w:r>
        <w:rPr>
          <w:rFonts w:hint="eastAsia" w:ascii="宋体" w:hAnsi="宋体" w:eastAsia="宋体" w:cs="宋体"/>
          <w:color w:val="auto"/>
          <w:szCs w:val="21"/>
        </w:rPr>
        <w:t>】健脾和胃，固本扶正</w:t>
      </w:r>
      <w:r>
        <w:rPr>
          <w:rFonts w:hint="eastAsia" w:ascii="宋体" w:hAnsi="宋体" w:eastAsia="宋体" w:cs="宋体"/>
          <w:color w:val="auto"/>
          <w:szCs w:val="21"/>
          <w:lang w:eastAsia="zh-CN"/>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w:t>
      </w:r>
      <w:r>
        <w:rPr>
          <w:rFonts w:ascii="宋体" w:hAnsi="宋体" w:eastAsia="宋体" w:cs="宋体"/>
          <w:color w:val="auto"/>
          <w:szCs w:val="21"/>
        </w:rPr>
        <w:t>操作</w:t>
      </w:r>
      <w:r>
        <w:rPr>
          <w:rFonts w:hint="eastAsia" w:ascii="宋体" w:hAnsi="宋体" w:eastAsia="宋体" w:cs="宋体"/>
          <w:color w:val="auto"/>
          <w:szCs w:val="21"/>
        </w:rPr>
        <w:t>】中药</w:t>
      </w:r>
      <w:r>
        <w:rPr>
          <w:rFonts w:ascii="宋体" w:hAnsi="宋体" w:eastAsia="宋体" w:cs="宋体"/>
          <w:color w:val="auto"/>
          <w:szCs w:val="21"/>
        </w:rPr>
        <w:t>加水2000ml，浸泡15</w:t>
      </w:r>
      <w:r>
        <w:rPr>
          <w:rFonts w:hint="eastAsia" w:ascii="宋体" w:hAnsi="宋体" w:eastAsia="宋体" w:cs="宋体"/>
          <w:color w:val="auto"/>
          <w:szCs w:val="21"/>
          <w:lang w:val="en-US" w:eastAsia="zh-CN"/>
        </w:rPr>
        <w:t>分钟</w:t>
      </w:r>
      <w:r>
        <w:rPr>
          <w:rFonts w:ascii="宋体" w:hAnsi="宋体" w:eastAsia="宋体" w:cs="宋体"/>
          <w:color w:val="auto"/>
          <w:szCs w:val="21"/>
        </w:rPr>
        <w:t>后，煎煮30</w:t>
      </w:r>
      <w:r>
        <w:rPr>
          <w:rFonts w:hint="eastAsia" w:ascii="宋体" w:hAnsi="宋体" w:eastAsia="宋体" w:cs="宋体"/>
          <w:color w:val="auto"/>
          <w:szCs w:val="21"/>
          <w:lang w:val="en-US" w:eastAsia="zh-CN"/>
        </w:rPr>
        <w:t>分钟</w:t>
      </w:r>
      <w:r>
        <w:rPr>
          <w:rFonts w:ascii="宋体" w:hAnsi="宋体" w:eastAsia="宋体" w:cs="宋体"/>
          <w:color w:val="auto"/>
          <w:szCs w:val="21"/>
        </w:rPr>
        <w:t>，过滤后药渣复加水2000ml，煎煮30</w:t>
      </w:r>
      <w:r>
        <w:rPr>
          <w:rFonts w:hint="eastAsia" w:ascii="宋体" w:hAnsi="宋体" w:eastAsia="宋体" w:cs="宋体"/>
          <w:color w:val="auto"/>
          <w:szCs w:val="21"/>
          <w:lang w:val="en-US" w:eastAsia="zh-CN"/>
        </w:rPr>
        <w:t>分钟</w:t>
      </w:r>
      <w:r>
        <w:rPr>
          <w:rFonts w:ascii="宋体" w:hAnsi="宋体" w:eastAsia="宋体" w:cs="宋体"/>
          <w:color w:val="auto"/>
          <w:szCs w:val="21"/>
        </w:rPr>
        <w:t>，倒出药液。将两次药液混合，加热水3000ml置浴盆中，趁热先熏蒸，待药液温度降至40</w:t>
      </w:r>
      <w:r>
        <w:rPr>
          <w:rFonts w:hint="eastAsia" w:ascii="宋体" w:hAnsi="宋体" w:eastAsia="宋体" w:cs="宋体"/>
          <w:color w:val="auto"/>
          <w:szCs w:val="21"/>
        </w:rPr>
        <w:t>～</w:t>
      </w:r>
      <w:r>
        <w:rPr>
          <w:rFonts w:ascii="宋体" w:hAnsi="宋体" w:eastAsia="宋体" w:cs="宋体"/>
          <w:color w:val="auto"/>
          <w:szCs w:val="21"/>
        </w:rPr>
        <w:t>50℃后做全身浸泡，每次20</w:t>
      </w:r>
      <w:r>
        <w:rPr>
          <w:rFonts w:hint="eastAsia" w:ascii="宋体" w:hAnsi="宋体" w:eastAsia="宋体" w:cs="宋体"/>
          <w:color w:val="auto"/>
          <w:szCs w:val="21"/>
        </w:rPr>
        <w:t>～</w:t>
      </w:r>
      <w:r>
        <w:rPr>
          <w:rFonts w:ascii="宋体" w:hAnsi="宋体" w:eastAsia="宋体" w:cs="宋体"/>
          <w:color w:val="auto"/>
          <w:szCs w:val="21"/>
        </w:rPr>
        <w:t>30</w:t>
      </w:r>
      <w:r>
        <w:rPr>
          <w:rFonts w:hint="eastAsia" w:ascii="宋体" w:hAnsi="宋体" w:eastAsia="宋体" w:cs="宋体"/>
          <w:color w:val="auto"/>
          <w:szCs w:val="21"/>
          <w:lang w:val="en-US" w:eastAsia="zh-CN"/>
        </w:rPr>
        <w:t>分钟</w:t>
      </w:r>
      <w:r>
        <w:rPr>
          <w:rFonts w:ascii="宋体" w:hAnsi="宋体" w:eastAsia="宋体" w:cs="宋体"/>
          <w:color w:val="auto"/>
          <w:szCs w:val="21"/>
        </w:rPr>
        <w:t>，每日1次，10次为1疗程。</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【推荐意见】</w:t>
      </w:r>
      <w:r>
        <w:rPr>
          <w:rFonts w:ascii="宋体" w:hAnsi="宋体" w:eastAsia="宋体" w:cs="宋体"/>
          <w:color w:val="auto"/>
          <w:szCs w:val="21"/>
        </w:rPr>
        <w:t>敷贴熏洗是在中医理论指导下，以预防治疗疾病、保健强身等为目的的中医外治法。可改善</w:t>
      </w:r>
      <w:r>
        <w:rPr>
          <w:rFonts w:hint="eastAsia" w:ascii="宋体" w:hAnsi="宋体" w:eastAsia="宋体" w:cs="宋体"/>
          <w:color w:val="auto"/>
          <w:szCs w:val="21"/>
          <w:lang w:val="en-US" w:eastAsia="zh-CN"/>
        </w:rPr>
        <w:t>食管癌前病变患者</w:t>
      </w:r>
      <w:r>
        <w:rPr>
          <w:rFonts w:ascii="宋体" w:hAnsi="宋体" w:eastAsia="宋体" w:cs="宋体"/>
          <w:color w:val="auto"/>
          <w:szCs w:val="21"/>
        </w:rPr>
        <w:t>反酸呃逆、</w:t>
      </w:r>
      <w:r>
        <w:rPr>
          <w:rFonts w:hint="eastAsia" w:ascii="宋体" w:hAnsi="宋体" w:eastAsia="宋体" w:cs="宋体"/>
          <w:color w:val="auto"/>
          <w:szCs w:val="21"/>
        </w:rPr>
        <w:t>胃脘</w:t>
      </w:r>
      <w:r>
        <w:rPr>
          <w:rFonts w:ascii="宋体" w:hAnsi="宋体" w:eastAsia="宋体" w:cs="宋体"/>
          <w:color w:val="auto"/>
          <w:szCs w:val="21"/>
        </w:rPr>
        <w:t>不舒等临床症状。</w:t>
      </w:r>
    </w:p>
    <w:p>
      <w:pPr>
        <w:keepLines w:val="0"/>
        <w:pageBreakBefore w:val="0"/>
        <w:kinsoku/>
        <w:overflowPunct/>
        <w:topLinePunct w:val="0"/>
        <w:bidi w:val="0"/>
        <w:adjustRightInd/>
        <w:spacing w:line="360" w:lineRule="exact"/>
        <w:rPr>
          <w:rFonts w:ascii="宋体" w:hAnsi="宋体" w:eastAsia="宋体" w:cs="宋体"/>
          <w:color w:val="auto"/>
          <w:szCs w:val="21"/>
        </w:rPr>
      </w:pPr>
      <w:r>
        <w:rPr>
          <w:rFonts w:hint="eastAsia" w:ascii="黑体" w:hAnsi="黑体" w:eastAsia="黑体" w:cs="黑体"/>
          <w:color w:val="auto"/>
          <w:szCs w:val="21"/>
        </w:rPr>
        <w:t>7</w:t>
      </w:r>
      <w:r>
        <w:rPr>
          <w:rFonts w:ascii="黑体" w:hAnsi="黑体" w:eastAsia="黑体" w:cs="黑体"/>
          <w:color w:val="auto"/>
          <w:szCs w:val="21"/>
        </w:rPr>
        <w:t>.</w:t>
      </w:r>
      <w:r>
        <w:rPr>
          <w:rFonts w:hint="eastAsia" w:ascii="黑体" w:hAnsi="黑体" w:eastAsia="黑体" w:cs="黑体"/>
          <w:color w:val="auto"/>
          <w:szCs w:val="21"/>
          <w:lang w:val="en-US" w:eastAsia="zh-CN"/>
        </w:rPr>
        <w:t>3</w:t>
      </w:r>
      <w:r>
        <w:rPr>
          <w:rFonts w:ascii="黑体" w:hAnsi="黑体" w:eastAsia="黑体" w:cs="黑体"/>
          <w:color w:val="auto"/>
          <w:szCs w:val="21"/>
        </w:rPr>
        <w:t xml:space="preserve">.2.7 </w:t>
      </w:r>
      <w:r>
        <w:rPr>
          <w:rFonts w:hint="eastAsia" w:ascii="黑体" w:hAnsi="黑体" w:eastAsia="黑体" w:cs="黑体"/>
          <w:color w:val="auto"/>
          <w:szCs w:val="21"/>
        </w:rPr>
        <w:t>传统功法</w:t>
      </w:r>
      <w:r>
        <w:rPr>
          <w:rFonts w:hint="eastAsia" w:ascii="宋体" w:hAnsi="宋体" w:eastAsia="宋体" w:cs="宋体"/>
          <w:color w:val="auto"/>
          <w:szCs w:val="21"/>
          <w:vertAlign w:val="superscript"/>
          <w:lang w:val="en-US" w:eastAsia="zh-CN"/>
        </w:rPr>
        <w:t>[90]</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1）太极</w:t>
      </w:r>
      <w:r>
        <w:rPr>
          <w:rFonts w:hint="eastAsia" w:ascii="黑体" w:hAnsi="黑体" w:eastAsia="黑体" w:cs="黑体"/>
          <w:color w:val="auto"/>
          <w:szCs w:val="21"/>
          <w:lang w:val="en-US" w:eastAsia="zh-CN"/>
        </w:rPr>
        <w:t>拳</w:t>
      </w:r>
      <w:r>
        <w:rPr>
          <w:rFonts w:hint="eastAsia" w:ascii="宋体" w:hAnsi="宋体" w:eastAsia="宋体" w:cs="宋体"/>
          <w:color w:val="auto"/>
          <w:szCs w:val="21"/>
          <w:vertAlign w:val="superscript"/>
          <w:lang w:val="en-US" w:eastAsia="zh-CN"/>
        </w:rPr>
        <w:t>[91-92]</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度：强推荐；共识同意率：完全同意86.51%，</w:t>
      </w:r>
      <w:r>
        <w:rPr>
          <w:rFonts w:hint="eastAsia" w:ascii="黑体" w:hAnsi="黑体" w:eastAsia="黑体" w:cs="黑体"/>
          <w:color w:val="auto"/>
          <w:kern w:val="0"/>
          <w:sz w:val="21"/>
          <w:szCs w:val="21"/>
          <w:lang w:val="en-US" w:eastAsia="zh-CN" w:bidi="ar"/>
        </w:rPr>
        <w:t>同意但保留部分意见11.23%</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hint="default" w:ascii="宋体" w:hAnsi="宋体" w:eastAsia="宋体" w:cs="宋体"/>
          <w:color w:val="auto"/>
          <w:szCs w:val="21"/>
          <w:lang w:val="en-US" w:eastAsia="zh-CN"/>
        </w:rPr>
      </w:pPr>
      <w:r>
        <w:rPr>
          <w:rFonts w:hint="eastAsia" w:ascii="宋体" w:hAnsi="宋体" w:eastAsia="宋体" w:cs="宋体"/>
          <w:color w:val="auto"/>
          <w:szCs w:val="21"/>
        </w:rPr>
        <w:t>【频次与时长】每周3</w:t>
      </w:r>
      <w:r>
        <w:rPr>
          <w:rFonts w:hint="eastAsia" w:ascii="宋体" w:hAnsi="宋体" w:eastAsia="宋体" w:cs="宋体"/>
          <w:color w:val="auto"/>
          <w:sz w:val="21"/>
          <w:szCs w:val="21"/>
          <w:lang w:val="en-US" w:eastAsia="zh-CN"/>
        </w:rPr>
        <w:t>～</w:t>
      </w:r>
      <w:r>
        <w:rPr>
          <w:rFonts w:ascii="宋体" w:hAnsi="宋体" w:eastAsia="宋体" w:cs="宋体"/>
          <w:color w:val="auto"/>
          <w:szCs w:val="21"/>
        </w:rPr>
        <w:t>5</w:t>
      </w:r>
      <w:r>
        <w:rPr>
          <w:rFonts w:hint="eastAsia" w:ascii="宋体" w:hAnsi="宋体" w:eastAsia="宋体" w:cs="宋体"/>
          <w:color w:val="auto"/>
          <w:szCs w:val="21"/>
        </w:rPr>
        <w:t>次，每次3</w:t>
      </w:r>
      <w:r>
        <w:rPr>
          <w:rFonts w:ascii="宋体" w:hAnsi="宋体" w:eastAsia="宋体" w:cs="宋体"/>
          <w:color w:val="auto"/>
          <w:szCs w:val="21"/>
        </w:rPr>
        <w:t>0</w:t>
      </w:r>
      <w:r>
        <w:rPr>
          <w:rFonts w:hint="eastAsia" w:ascii="宋体" w:hAnsi="宋体" w:eastAsia="宋体" w:cs="宋体"/>
          <w:color w:val="auto"/>
          <w:szCs w:val="21"/>
          <w:lang w:val="en-US" w:eastAsia="zh-CN"/>
        </w:rPr>
        <w:t>分钟。</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【注意事项】练太极拳不可闭气、使力，应以放松、沉气为主；在练拳时注意呼吸配合身体的开合，呼吸的基本要领是细、匀、深、长；锻炼地点应挑选清静宜人的环境，穿着宽松合体的练功服。</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2）八段锦</w:t>
      </w:r>
      <w:r>
        <w:rPr>
          <w:rFonts w:hint="eastAsia" w:ascii="宋体" w:hAnsi="宋体" w:eastAsia="宋体" w:cs="宋体"/>
          <w:color w:val="auto"/>
          <w:szCs w:val="21"/>
          <w:vertAlign w:val="superscript"/>
          <w:lang w:val="en-US" w:eastAsia="zh-CN"/>
        </w:rPr>
        <w:t>[93-94]</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度：强推荐；共识同意率：完全同意87.65%，</w:t>
      </w:r>
      <w:r>
        <w:rPr>
          <w:rFonts w:hint="eastAsia" w:ascii="黑体" w:hAnsi="黑体" w:eastAsia="黑体" w:cs="黑体"/>
          <w:color w:val="auto"/>
          <w:kern w:val="0"/>
          <w:sz w:val="21"/>
          <w:szCs w:val="21"/>
          <w:lang w:val="en-US" w:eastAsia="zh-CN" w:bidi="ar"/>
        </w:rPr>
        <w:t>同意但保留部分意见8.96%</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【频次与时长】每日子后午首各行一次，若无条件</w:t>
      </w:r>
      <w:r>
        <w:rPr>
          <w:rFonts w:hint="eastAsia" w:ascii="宋体" w:hAnsi="宋体" w:eastAsia="宋体" w:cs="宋体"/>
          <w:color w:val="auto"/>
          <w:szCs w:val="21"/>
          <w:lang w:val="en-US" w:eastAsia="zh-CN"/>
        </w:rPr>
        <w:t>则</w:t>
      </w:r>
      <w:r>
        <w:rPr>
          <w:rFonts w:hint="eastAsia" w:ascii="宋体" w:hAnsi="宋体" w:eastAsia="宋体" w:cs="宋体"/>
          <w:color w:val="auto"/>
          <w:szCs w:val="21"/>
        </w:rPr>
        <w:t>闲暇时间练习即可。</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【注意事项】练习八段锦时要用鼻微微呼气，不推荐用口呼吸；中虚有火者忌练八段锦；习练此功法忌急躁贪快，忌突发猛力，动作宜轻柔缓慢；锻炼地点应选择宽阔适宜的环境</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着装</w:t>
      </w:r>
      <w:r>
        <w:rPr>
          <w:rFonts w:hint="eastAsia" w:ascii="宋体" w:hAnsi="宋体" w:eastAsia="宋体" w:cs="宋体"/>
          <w:color w:val="auto"/>
          <w:szCs w:val="21"/>
        </w:rPr>
        <w:t>以练功服、平底鞋为宜。</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黑体" w:hAnsi="黑体" w:eastAsia="黑体" w:cs="黑体"/>
          <w:color w:val="auto"/>
          <w:szCs w:val="21"/>
        </w:rPr>
        <w:t>3）五禽戏</w:t>
      </w:r>
      <w:r>
        <w:rPr>
          <w:rFonts w:hint="eastAsia" w:ascii="宋体" w:hAnsi="宋体" w:eastAsia="宋体" w:cs="宋体"/>
          <w:color w:val="auto"/>
          <w:szCs w:val="21"/>
          <w:vertAlign w:val="superscript"/>
          <w:lang w:val="en-US" w:eastAsia="zh-CN"/>
        </w:rPr>
        <w:t>[95-96]</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度：强推荐；共识同意率：完全同意85.38%，</w:t>
      </w:r>
      <w:r>
        <w:rPr>
          <w:rFonts w:hint="eastAsia" w:ascii="黑体" w:hAnsi="黑体" w:eastAsia="黑体" w:cs="黑体"/>
          <w:color w:val="auto"/>
          <w:kern w:val="0"/>
          <w:sz w:val="21"/>
          <w:szCs w:val="21"/>
          <w:lang w:val="en-US" w:eastAsia="zh-CN" w:bidi="ar"/>
        </w:rPr>
        <w:t>同意但保留部分意见12.34%</w:t>
      </w:r>
      <w:r>
        <w:rPr>
          <w:rFonts w:hint="eastAsia" w:ascii="黑体" w:hAnsi="黑体" w:eastAsia="黑体" w:cs="黑体"/>
          <w:b w:val="0"/>
          <w:bCs w:val="0"/>
          <w:color w:val="auto"/>
          <w:kern w:val="2"/>
          <w:sz w:val="21"/>
          <w:szCs w:val="21"/>
          <w:lang w:val="en-US" w:eastAsia="zh-CN" w:bidi="ar-SA"/>
        </w:rPr>
        <w:t>）</w:t>
      </w:r>
    </w:p>
    <w:p>
      <w:pPr>
        <w:keepLines w:val="0"/>
        <w:pageBreakBefore w:val="0"/>
        <w:kinsoku/>
        <w:overflowPunct/>
        <w:topLinePunct w:val="0"/>
        <w:bidi w:val="0"/>
        <w:adjustRightInd/>
        <w:spacing w:line="360" w:lineRule="exact"/>
        <w:ind w:firstLine="420" w:firstLineChars="200"/>
        <w:rPr>
          <w:rFonts w:ascii="宋体" w:hAnsi="宋体" w:eastAsia="宋体" w:cs="宋体"/>
          <w:color w:val="auto"/>
          <w:szCs w:val="21"/>
        </w:rPr>
      </w:pPr>
      <w:r>
        <w:rPr>
          <w:rFonts w:hint="eastAsia" w:ascii="宋体" w:hAnsi="宋体" w:eastAsia="宋体" w:cs="宋体"/>
          <w:color w:val="auto"/>
          <w:szCs w:val="21"/>
        </w:rPr>
        <w:t>【频次与时长】因人而异，习练频率与时长以微感肌肉酸胀为度。</w:t>
      </w:r>
    </w:p>
    <w:p>
      <w:pPr>
        <w:keepLines w:val="0"/>
        <w:pageBreakBefore w:val="0"/>
        <w:kinsoku/>
        <w:overflowPunct/>
        <w:topLinePunct w:val="0"/>
        <w:bidi w:val="0"/>
        <w:adjustRightInd/>
        <w:spacing w:line="36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注意事项】呼吸与动作的配合应注意起吸落呼、开吸合呼、先吸后呼；习练此功法应根据自身体质状况选择动作的速度、步姿的高低、幅度的大小、锻炼的时间、习练的次数，原则为练功后精神愉悦，心情舒畅，肌肉略感酸胀，不影响日常生活</w:t>
      </w:r>
      <w:r>
        <w:rPr>
          <w:rFonts w:hint="eastAsia" w:ascii="宋体" w:hAnsi="宋体" w:eastAsia="宋体" w:cs="宋体"/>
          <w:color w:val="auto"/>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7.3.3 西医治疗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7.3.3.1 内镜下治疗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黑体" w:hAnsi="黑体" w:eastAsia="黑体" w:cs="黑体"/>
          <w:b w:val="0"/>
          <w:bCs w:val="0"/>
          <w:color w:val="auto"/>
          <w:kern w:val="2"/>
          <w:sz w:val="21"/>
          <w:szCs w:val="21"/>
          <w:lang w:val="en-US" w:eastAsia="zh-CN" w:bidi="ar-SA"/>
        </w:rPr>
        <w:t>1）内镜手术治疗：</w:t>
      </w:r>
      <w:r>
        <w:rPr>
          <w:rFonts w:hint="eastAsia" w:ascii="宋体" w:hAnsi="宋体" w:eastAsia="宋体" w:cs="宋体"/>
          <w:color w:val="auto"/>
          <w:sz w:val="21"/>
          <w:szCs w:val="21"/>
          <w:lang w:val="en-US" w:eastAsia="zh-CN"/>
        </w:rPr>
        <w:t>包括内镜下黏膜切除术</w:t>
      </w:r>
      <w:r>
        <w:rPr>
          <w:rFonts w:hint="default" w:ascii="Times New Roman" w:hAnsi="Times New Roman" w:eastAsia="宋体" w:cs="Times New Roman"/>
          <w:color w:val="auto"/>
          <w:sz w:val="21"/>
          <w:szCs w:val="21"/>
          <w:lang w:val="en-US" w:eastAsia="zh-CN"/>
        </w:rPr>
        <w:t>（endoscopic mucosal resection，EMR）</w:t>
      </w:r>
      <w:r>
        <w:rPr>
          <w:rFonts w:hint="eastAsia" w:ascii="宋体" w:hAnsi="宋体" w:eastAsia="宋体" w:cs="宋体"/>
          <w:color w:val="auto"/>
          <w:sz w:val="21"/>
          <w:szCs w:val="21"/>
          <w:lang w:val="en-US" w:eastAsia="zh-CN"/>
        </w:rPr>
        <w:t>、内镜黏膜下剥离术</w:t>
      </w:r>
      <w:r>
        <w:rPr>
          <w:rFonts w:hint="default" w:ascii="Times New Roman" w:hAnsi="Times New Roman" w:eastAsia="宋体" w:cs="Times New Roman"/>
          <w:color w:val="auto"/>
          <w:sz w:val="21"/>
          <w:szCs w:val="21"/>
          <w:lang w:val="en-US" w:eastAsia="zh-CN"/>
        </w:rPr>
        <w:t>（endoscopic submucosal dissection，ESD）</w:t>
      </w:r>
      <w:r>
        <w:rPr>
          <w:rFonts w:hint="eastAsia" w:ascii="宋体" w:hAnsi="宋体" w:eastAsia="宋体" w:cs="宋体"/>
          <w:color w:val="auto"/>
          <w:sz w:val="21"/>
          <w:szCs w:val="21"/>
          <w:lang w:val="en-US" w:eastAsia="zh-CN"/>
        </w:rPr>
        <w:t>及多环套扎黏膜切除术</w:t>
      </w:r>
      <w:r>
        <w:rPr>
          <w:rFonts w:hint="default" w:ascii="Times New Roman" w:hAnsi="Times New Roman" w:eastAsia="宋体" w:cs="Times New Roman"/>
          <w:color w:val="auto"/>
          <w:sz w:val="21"/>
          <w:szCs w:val="21"/>
          <w:lang w:val="en-US" w:eastAsia="zh-CN"/>
        </w:rPr>
        <w:t>（multiband mucosectomy，MBM）</w:t>
      </w:r>
      <w:r>
        <w:rPr>
          <w:rFonts w:hint="eastAsia" w:ascii="宋体" w:hAnsi="宋体" w:eastAsia="宋体" w:cs="宋体"/>
          <w:color w:val="auto"/>
          <w:sz w:val="21"/>
          <w:szCs w:val="21"/>
          <w:vertAlign w:val="superscript"/>
          <w:lang w:val="en-US" w:eastAsia="zh-CN"/>
        </w:rPr>
        <w:t>[97]</w:t>
      </w:r>
      <w:r>
        <w:rPr>
          <w:rFonts w:hint="eastAsia" w:ascii="宋体" w:hAnsi="宋体" w:eastAsia="宋体" w:cs="宋体"/>
          <w:color w:val="auto"/>
          <w:sz w:val="21"/>
          <w:szCs w:val="21"/>
          <w:lang w:val="en-US" w:eastAsia="zh-CN"/>
        </w:rPr>
        <w:t>。内镜手术治疗食管癌前病变，手术时间短、术后并发症少、住院时间短，具有较高的安全性</w:t>
      </w:r>
      <w:r>
        <w:rPr>
          <w:rFonts w:hint="eastAsia" w:ascii="宋体" w:hAnsi="宋体" w:eastAsia="宋体" w:cs="宋体"/>
          <w:color w:val="auto"/>
          <w:sz w:val="21"/>
          <w:szCs w:val="21"/>
          <w:vertAlign w:val="superscript"/>
          <w:lang w:val="en-US" w:eastAsia="zh-CN"/>
        </w:rPr>
        <w:t>[9、15]</w:t>
      </w:r>
      <w:r>
        <w:rPr>
          <w:rFonts w:hint="eastAsia" w:ascii="宋体" w:hAnsi="宋体" w:eastAsia="宋体" w:cs="宋体"/>
          <w:color w:val="auto"/>
          <w:sz w:val="21"/>
          <w:szCs w:val="21"/>
          <w:lang w:val="en-US" w:eastAsia="zh-CN"/>
        </w:rPr>
        <w:t>。</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对于＜15mm食管浅表病灶，使用透明帽辅助</w:t>
      </w:r>
      <w:r>
        <w:rPr>
          <w:rFonts w:hint="default" w:ascii="Times New Roman" w:hAnsi="Times New Roman" w:eastAsia="宋体" w:cs="Times New Roman"/>
          <w:color w:val="auto"/>
          <w:sz w:val="21"/>
          <w:szCs w:val="21"/>
          <w:lang w:val="en-US" w:eastAsia="zh-CN"/>
        </w:rPr>
        <w:t>EMR</w:t>
      </w:r>
      <w:r>
        <w:rPr>
          <w:rFonts w:hint="eastAsia" w:ascii="宋体" w:hAnsi="宋体" w:eastAsia="宋体" w:cs="宋体"/>
          <w:color w:val="auto"/>
          <w:sz w:val="21"/>
          <w:szCs w:val="21"/>
          <w:lang w:val="en-US" w:eastAsia="zh-CN"/>
        </w:rPr>
        <w:t>均可实现整块切除。因此小病灶评估可一次整块切除者可选择</w:t>
      </w:r>
      <w:r>
        <w:rPr>
          <w:rFonts w:hint="default" w:ascii="Times New Roman" w:hAnsi="Times New Roman" w:eastAsia="宋体" w:cs="Times New Roman"/>
          <w:color w:val="auto"/>
          <w:sz w:val="21"/>
          <w:szCs w:val="21"/>
          <w:lang w:val="en-US" w:eastAsia="zh-CN"/>
        </w:rPr>
        <w:t>EMR</w:t>
      </w:r>
      <w:r>
        <w:rPr>
          <w:rFonts w:hint="eastAsia" w:ascii="宋体" w:hAnsi="宋体" w:eastAsia="宋体" w:cs="宋体"/>
          <w:color w:val="auto"/>
          <w:sz w:val="21"/>
          <w:szCs w:val="21"/>
          <w:lang w:val="en-US" w:eastAsia="zh-CN"/>
        </w:rPr>
        <w:t>。</w:t>
      </w:r>
      <w:r>
        <w:rPr>
          <w:rFonts w:hint="default" w:ascii="Times New Roman" w:hAnsi="Times New Roman" w:eastAsia="宋体" w:cs="Times New Roman"/>
          <w:color w:val="auto"/>
          <w:sz w:val="21"/>
          <w:szCs w:val="21"/>
          <w:lang w:val="en-US" w:eastAsia="zh-CN"/>
        </w:rPr>
        <w:t>ESD</w:t>
      </w:r>
      <w:r>
        <w:rPr>
          <w:rFonts w:hint="eastAsia" w:ascii="宋体" w:hAnsi="宋体" w:eastAsia="宋体" w:cs="宋体"/>
          <w:color w:val="auto"/>
          <w:sz w:val="21"/>
          <w:szCs w:val="21"/>
          <w:lang w:val="en-US" w:eastAsia="zh-CN"/>
        </w:rPr>
        <w:t>的最大优势在于能对病灶（尤其是＞20mm病灶）实现整块切除，从而最大限度减少病灶残余，提高术后病理学分期诊断的准确性。</w:t>
      </w:r>
      <w:r>
        <w:rPr>
          <w:rFonts w:hint="default" w:ascii="Times New Roman" w:hAnsi="Times New Roman" w:eastAsia="宋体" w:cs="Times New Roman"/>
          <w:color w:val="auto"/>
          <w:sz w:val="21"/>
          <w:szCs w:val="21"/>
          <w:lang w:val="en-US" w:eastAsia="zh-CN"/>
        </w:rPr>
        <w:t>ESD</w:t>
      </w:r>
      <w:r>
        <w:rPr>
          <w:rFonts w:hint="eastAsia" w:ascii="宋体" w:hAnsi="宋体" w:eastAsia="宋体" w:cs="宋体"/>
          <w:color w:val="auto"/>
          <w:sz w:val="21"/>
          <w:szCs w:val="21"/>
          <w:lang w:val="en-US" w:eastAsia="zh-CN"/>
        </w:rPr>
        <w:t>为切除食管浅表病灶首选技术，但其操作难度较高、学习周期长，在我国部分食管癌高发地区仍未开展或普及。据文献报道，内镜下分片黏膜切除术</w:t>
      </w:r>
      <w:r>
        <w:rPr>
          <w:rFonts w:hint="default" w:ascii="Times New Roman" w:hAnsi="Times New Roman" w:eastAsia="宋体" w:cs="Times New Roman"/>
          <w:color w:val="auto"/>
          <w:sz w:val="21"/>
          <w:szCs w:val="21"/>
          <w:lang w:val="en-US" w:eastAsia="zh-CN"/>
        </w:rPr>
        <w:t>（endoscopic piecemeal mucosal resection，EPMR）</w:t>
      </w:r>
      <w:r>
        <w:rPr>
          <w:rFonts w:hint="eastAsia" w:ascii="宋体" w:hAnsi="宋体" w:eastAsia="宋体" w:cs="宋体"/>
          <w:color w:val="auto"/>
          <w:sz w:val="21"/>
          <w:szCs w:val="21"/>
          <w:lang w:val="en-US" w:eastAsia="zh-CN"/>
        </w:rPr>
        <w:t>和</w:t>
      </w:r>
      <w:r>
        <w:rPr>
          <w:rFonts w:hint="default" w:ascii="Times New Roman" w:hAnsi="Times New Roman" w:eastAsia="宋体" w:cs="Times New Roman"/>
          <w:color w:val="auto"/>
          <w:sz w:val="21"/>
          <w:szCs w:val="21"/>
          <w:lang w:val="en-US" w:eastAsia="zh-CN"/>
        </w:rPr>
        <w:t>MBM</w:t>
      </w:r>
      <w:r>
        <w:rPr>
          <w:rFonts w:hint="eastAsia" w:ascii="宋体" w:hAnsi="宋体" w:eastAsia="宋体" w:cs="宋体"/>
          <w:color w:val="auto"/>
          <w:sz w:val="21"/>
          <w:szCs w:val="21"/>
          <w:lang w:val="en-US" w:eastAsia="zh-CN"/>
        </w:rPr>
        <w:t>也可实现对食管浅表病灶的分片式完全切除，且手术时间短、技术难度低，短期随访未见局部复发，因此可作为不能开展</w:t>
      </w:r>
      <w:r>
        <w:rPr>
          <w:rFonts w:hint="default" w:ascii="Times New Roman" w:hAnsi="Times New Roman" w:eastAsia="宋体" w:cs="Times New Roman"/>
          <w:color w:val="auto"/>
          <w:sz w:val="21"/>
          <w:szCs w:val="21"/>
          <w:lang w:val="en-US" w:eastAsia="zh-CN"/>
        </w:rPr>
        <w:t>ESD</w:t>
      </w:r>
      <w:r>
        <w:rPr>
          <w:rFonts w:hint="eastAsia" w:ascii="宋体" w:hAnsi="宋体" w:eastAsia="宋体" w:cs="宋体"/>
          <w:color w:val="auto"/>
          <w:sz w:val="21"/>
          <w:szCs w:val="21"/>
          <w:lang w:val="en-US" w:eastAsia="zh-CN"/>
        </w:rPr>
        <w:t>的机构切除食管大病灶（直径＞20mm）的备选方法</w:t>
      </w:r>
      <w:r>
        <w:rPr>
          <w:rFonts w:hint="eastAsia" w:hAnsi="宋体" w:eastAsia="宋体" w:cs="宋体"/>
          <w:color w:val="auto"/>
          <w:sz w:val="21"/>
          <w:szCs w:val="21"/>
          <w:vertAlign w:val="superscript"/>
          <w:lang w:val="en-US" w:eastAsia="zh-CN"/>
        </w:rPr>
        <w:t>[98-99]</w:t>
      </w:r>
      <w:r>
        <w:rPr>
          <w:rFonts w:hint="eastAsia" w:ascii="宋体" w:hAnsi="宋体" w:eastAsia="宋体" w:cs="宋体"/>
          <w:color w:val="auto"/>
          <w:sz w:val="21"/>
          <w:szCs w:val="21"/>
          <w:lang w:val="en-US" w:eastAsia="zh-CN"/>
        </w:rPr>
        <w:t>。</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病灶活检病理学显示鳞状上皮</w:t>
      </w:r>
      <w:r>
        <w:rPr>
          <w:rFonts w:hint="default" w:ascii="Times New Roman" w:hAnsi="Times New Roman" w:eastAsia="宋体" w:cs="Times New Roman"/>
          <w:color w:val="auto"/>
          <w:sz w:val="21"/>
          <w:szCs w:val="21"/>
          <w:lang w:val="en-US" w:eastAsia="zh-CN"/>
        </w:rPr>
        <w:t>LGIN</w:t>
      </w:r>
      <w:r>
        <w:rPr>
          <w:rFonts w:hint="eastAsia" w:ascii="宋体" w:hAnsi="宋体" w:eastAsia="宋体" w:cs="宋体"/>
          <w:color w:val="auto"/>
          <w:sz w:val="21"/>
          <w:szCs w:val="21"/>
          <w:lang w:val="en-US" w:eastAsia="zh-CN"/>
        </w:rPr>
        <w:t>，但内镜下有高级别病变表现，或合并病理学升级危险因素者可行内镜下整块切除，未行切除者应3～6个月内复查内镜并重新活检。病灶靶向活检病理学显示鳞状上皮</w:t>
      </w:r>
      <w:r>
        <w:rPr>
          <w:rFonts w:hint="default" w:ascii="Times New Roman" w:hAnsi="Times New Roman" w:eastAsia="宋体" w:cs="Times New Roman"/>
          <w:color w:val="auto"/>
          <w:sz w:val="21"/>
          <w:szCs w:val="21"/>
          <w:lang w:val="en-US" w:eastAsia="zh-CN"/>
        </w:rPr>
        <w:t>LGIN</w:t>
      </w:r>
      <w:r>
        <w:rPr>
          <w:rFonts w:hint="eastAsia" w:ascii="宋体" w:hAnsi="宋体" w:eastAsia="宋体" w:cs="宋体"/>
          <w:color w:val="auto"/>
          <w:sz w:val="21"/>
          <w:szCs w:val="21"/>
          <w:lang w:val="en-US" w:eastAsia="zh-CN"/>
        </w:rPr>
        <w:t>，不存在高级别病变表现或病理学升级危险因素者，推荐每1～2年1次上消化道内镜检查并进行靶向活检。病灶活检病理学显示鳞状上皮</w:t>
      </w:r>
      <w:r>
        <w:rPr>
          <w:rFonts w:hint="default" w:ascii="Times New Roman" w:hAnsi="Times New Roman" w:eastAsia="宋体" w:cs="Times New Roman"/>
          <w:color w:val="auto"/>
          <w:sz w:val="21"/>
          <w:szCs w:val="21"/>
          <w:lang w:val="en-US" w:eastAsia="zh-CN"/>
        </w:rPr>
        <w:t>HGIN</w:t>
      </w:r>
      <w:r>
        <w:rPr>
          <w:rFonts w:hint="eastAsia" w:ascii="宋体" w:hAnsi="宋体" w:eastAsia="宋体" w:cs="宋体"/>
          <w:color w:val="auto"/>
          <w:sz w:val="21"/>
          <w:szCs w:val="21"/>
          <w:lang w:val="en-US" w:eastAsia="zh-CN"/>
        </w:rPr>
        <w:t>，且超声内镜</w:t>
      </w:r>
      <w:r>
        <w:rPr>
          <w:rFonts w:hint="default" w:ascii="Times New Roman" w:hAnsi="Times New Roman" w:eastAsia="宋体" w:cs="Times New Roman"/>
          <w:color w:val="auto"/>
          <w:sz w:val="21"/>
          <w:szCs w:val="21"/>
          <w:lang w:val="en-US" w:eastAsia="zh-CN"/>
        </w:rPr>
        <w:t>（EUS）</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CT</w:t>
      </w:r>
      <w:r>
        <w:rPr>
          <w:rFonts w:hint="eastAsia" w:ascii="宋体" w:hAnsi="宋体" w:eastAsia="宋体" w:cs="宋体"/>
          <w:color w:val="auto"/>
          <w:sz w:val="21"/>
          <w:szCs w:val="21"/>
          <w:lang w:val="en-US" w:eastAsia="zh-CN"/>
        </w:rPr>
        <w:t>评估无黏膜下浸润和淋巴结转移内镜/影像表现者，推荐内镜下整块切除。</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对于</w:t>
      </w:r>
      <w:r>
        <w:rPr>
          <w:rFonts w:hint="default" w:ascii="Times New Roman" w:hAnsi="Times New Roman" w:eastAsia="宋体" w:cs="Times New Roman"/>
          <w:color w:val="auto"/>
          <w:sz w:val="21"/>
          <w:szCs w:val="21"/>
          <w:lang w:val="en-US" w:eastAsia="zh-CN"/>
        </w:rPr>
        <w:t>HGIN</w:t>
      </w:r>
      <w:r>
        <w:rPr>
          <w:rFonts w:hint="eastAsia" w:ascii="宋体" w:hAnsi="宋体" w:eastAsia="宋体" w:cs="宋体"/>
          <w:color w:val="auto"/>
          <w:sz w:val="21"/>
          <w:szCs w:val="21"/>
          <w:lang w:val="en-US" w:eastAsia="zh-CN"/>
        </w:rPr>
        <w:t>的巴雷特食管患者，建议行</w:t>
      </w:r>
      <w:r>
        <w:rPr>
          <w:rFonts w:hint="default" w:ascii="Times New Roman" w:hAnsi="Times New Roman" w:eastAsia="宋体" w:cs="Times New Roman"/>
          <w:color w:val="auto"/>
          <w:sz w:val="21"/>
          <w:szCs w:val="21"/>
          <w:lang w:val="en-US" w:eastAsia="zh-CN"/>
        </w:rPr>
        <w:t>EUS</w:t>
      </w:r>
      <w:r>
        <w:rPr>
          <w:rFonts w:hint="eastAsia" w:ascii="宋体" w:hAnsi="宋体" w:eastAsia="宋体" w:cs="宋体"/>
          <w:color w:val="auto"/>
          <w:sz w:val="21"/>
          <w:szCs w:val="21"/>
          <w:lang w:val="en-US" w:eastAsia="zh-CN"/>
        </w:rPr>
        <w:t>检查评估病变浸润深度及淋巴结转移情况，并予以内镜下根治切除治疗；对于伴有</w:t>
      </w:r>
      <w:r>
        <w:rPr>
          <w:rFonts w:hint="default" w:ascii="Times New Roman" w:hAnsi="Times New Roman" w:eastAsia="宋体" w:cs="Times New Roman"/>
          <w:color w:val="auto"/>
          <w:sz w:val="21"/>
          <w:szCs w:val="21"/>
          <w:lang w:val="en-US" w:eastAsia="zh-CN"/>
        </w:rPr>
        <w:t>LGIN</w:t>
      </w:r>
      <w:r>
        <w:rPr>
          <w:rFonts w:hint="eastAsia" w:ascii="宋体" w:hAnsi="宋体" w:eastAsia="宋体" w:cs="宋体"/>
          <w:color w:val="auto"/>
          <w:sz w:val="21"/>
          <w:szCs w:val="21"/>
          <w:lang w:val="en-US" w:eastAsia="zh-CN"/>
        </w:rPr>
        <w:t>的巴雷特食管患者，建议行内镜下切除或消融治疗；不行治疗的伴有</w:t>
      </w:r>
      <w:r>
        <w:rPr>
          <w:rFonts w:hint="default" w:ascii="Times New Roman" w:hAnsi="Times New Roman" w:eastAsia="宋体" w:cs="Times New Roman"/>
          <w:color w:val="auto"/>
          <w:sz w:val="21"/>
          <w:szCs w:val="21"/>
          <w:lang w:val="en-US" w:eastAsia="zh-CN"/>
        </w:rPr>
        <w:t>LGIN</w:t>
      </w:r>
      <w:r>
        <w:rPr>
          <w:rFonts w:hint="eastAsia" w:ascii="宋体" w:hAnsi="宋体" w:eastAsia="宋体" w:cs="宋体"/>
          <w:color w:val="auto"/>
          <w:sz w:val="21"/>
          <w:szCs w:val="21"/>
          <w:lang w:val="en-US" w:eastAsia="zh-CN"/>
        </w:rPr>
        <w:t>的巴雷特食管患者，予以密切监测随访，每6～12个月随访1次。</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exact"/>
        <w:ind w:left="0" w:leftChars="0" w:firstLine="420" w:firstLineChars="200"/>
        <w:textAlignment w:val="auto"/>
        <w:rPr>
          <w:rFonts w:hint="eastAsia" w:hAnsi="宋体" w:eastAsia="宋体" w:cs="宋体"/>
          <w:color w:val="auto"/>
          <w:sz w:val="21"/>
          <w:szCs w:val="21"/>
          <w:lang w:val="en-US" w:eastAsia="zh-CN"/>
        </w:rPr>
      </w:pPr>
      <w:r>
        <w:rPr>
          <w:rFonts w:hint="eastAsia" w:ascii="黑体" w:hAnsi="黑体" w:eastAsia="黑体" w:cs="黑体"/>
          <w:b w:val="0"/>
          <w:bCs w:val="0"/>
          <w:color w:val="auto"/>
          <w:kern w:val="2"/>
          <w:sz w:val="21"/>
          <w:szCs w:val="21"/>
          <w:lang w:val="en-US" w:eastAsia="zh-CN" w:bidi="ar-SA"/>
        </w:rPr>
        <w:t>内镜下非手术治疗：</w:t>
      </w:r>
      <w:r>
        <w:rPr>
          <w:rFonts w:hint="eastAsia" w:ascii="宋体" w:hAnsi="宋体" w:eastAsia="宋体" w:cs="宋体"/>
          <w:color w:val="auto"/>
          <w:sz w:val="21"/>
          <w:szCs w:val="21"/>
          <w:lang w:val="en-US" w:eastAsia="zh-CN"/>
        </w:rPr>
        <w:t>射频消融治疗</w:t>
      </w:r>
      <w:r>
        <w:rPr>
          <w:rFonts w:hint="eastAsia" w:hAnsi="宋体" w:eastAsia="宋体" w:cs="宋体"/>
          <w:color w:val="auto"/>
          <w:sz w:val="21"/>
          <w:szCs w:val="21"/>
          <w:vertAlign w:val="superscript"/>
          <w:lang w:val="en-US" w:eastAsia="zh-CN"/>
        </w:rPr>
        <w:t>[100]</w:t>
      </w:r>
      <w:r>
        <w:rPr>
          <w:rFonts w:hint="eastAsia" w:hAnsi="宋体" w:eastAsia="宋体" w:cs="宋体"/>
          <w:color w:val="auto"/>
          <w:sz w:val="21"/>
          <w:szCs w:val="21"/>
          <w:vertAlign w:val="baseline"/>
          <w:lang w:val="en-US" w:eastAsia="zh-CN"/>
        </w:rPr>
        <w:t>是较为常用的方法；</w:t>
      </w:r>
      <w:r>
        <w:rPr>
          <w:rFonts w:hint="eastAsia" w:ascii="宋体" w:hAnsi="宋体" w:eastAsia="宋体" w:cs="宋体"/>
          <w:color w:val="auto"/>
          <w:sz w:val="21"/>
          <w:szCs w:val="21"/>
          <w:lang w:val="en-US" w:eastAsia="zh-CN"/>
        </w:rPr>
        <w:t>光动力疗法</w:t>
      </w:r>
      <w:r>
        <w:rPr>
          <w:rFonts w:hint="default" w:ascii="Times New Roman" w:hAnsi="Times New Roman" w:eastAsia="宋体" w:cs="Times New Roman"/>
          <w:color w:val="auto"/>
          <w:sz w:val="21"/>
          <w:szCs w:val="21"/>
          <w:lang w:val="en-US" w:eastAsia="zh-CN"/>
        </w:rPr>
        <w:t>（photodynamic therapy，PDT）</w:t>
      </w:r>
      <w:r>
        <w:rPr>
          <w:rFonts w:hint="eastAsia" w:ascii="宋体" w:hAnsi="宋体" w:eastAsia="宋体" w:cs="宋体"/>
          <w:color w:val="auto"/>
          <w:sz w:val="21"/>
          <w:szCs w:val="21"/>
          <w:lang w:val="en-US" w:eastAsia="zh-CN"/>
        </w:rPr>
        <w:t>、氩离子凝固术</w:t>
      </w:r>
      <w:r>
        <w:rPr>
          <w:rFonts w:hint="default" w:ascii="Times New Roman" w:hAnsi="Times New Roman" w:eastAsia="宋体" w:cs="Times New Roman"/>
          <w:color w:val="auto"/>
          <w:sz w:val="21"/>
          <w:szCs w:val="21"/>
          <w:lang w:val="en-US" w:eastAsia="zh-CN"/>
        </w:rPr>
        <w:t>（APC）</w:t>
      </w:r>
      <w:r>
        <w:rPr>
          <w:rFonts w:hint="eastAsia" w:ascii="宋体" w:hAnsi="宋体" w:eastAsia="宋体" w:cs="宋体"/>
          <w:color w:val="auto"/>
          <w:sz w:val="21"/>
          <w:szCs w:val="21"/>
          <w:lang w:val="en-US" w:eastAsia="zh-CN"/>
        </w:rPr>
        <w:t>、激光疗法、热探头治疗和冷冻疗法等</w:t>
      </w:r>
      <w:r>
        <w:rPr>
          <w:rFonts w:hint="eastAsia" w:hAnsi="宋体" w:eastAsia="宋体" w:cs="宋体"/>
          <w:color w:val="auto"/>
          <w:sz w:val="21"/>
          <w:szCs w:val="21"/>
          <w:lang w:val="en-US" w:eastAsia="zh-CN"/>
        </w:rPr>
        <w:t>技术不及射频消融成熟，仍待进一步研究提供证据支持</w:t>
      </w:r>
      <w:r>
        <w:rPr>
          <w:rFonts w:hint="eastAsia" w:hAnsi="宋体" w:eastAsia="宋体" w:cs="宋体"/>
          <w:color w:val="auto"/>
          <w:sz w:val="21"/>
          <w:szCs w:val="21"/>
          <w:vertAlign w:val="superscript"/>
          <w:lang w:val="en-US" w:eastAsia="zh-CN"/>
        </w:rPr>
        <w:t>[7]</w:t>
      </w:r>
      <w:r>
        <w:rPr>
          <w:rFonts w:hint="eastAsia" w:hAnsi="宋体" w:eastAsia="宋体" w:cs="宋体"/>
          <w:color w:val="auto"/>
          <w:sz w:val="21"/>
          <w:szCs w:val="21"/>
          <w:lang w:val="en-US" w:eastAsia="zh-CN"/>
        </w:rPr>
        <w:t>。</w:t>
      </w:r>
      <w:r>
        <w:rPr>
          <w:rFonts w:hint="eastAsia" w:ascii="宋体" w:hAnsi="宋体" w:eastAsia="宋体" w:cs="宋体"/>
          <w:color w:val="auto"/>
          <w:sz w:val="21"/>
          <w:szCs w:val="21"/>
          <w:lang w:val="en-US" w:eastAsia="zh-CN"/>
        </w:rPr>
        <w:t>这些技术既可单独使用，也可与内镜切除术联合应用。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7.3.3.2 药物治疗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抑酸剂是治疗反流症状的主要药物，但目前尚无证据说明哪一类药物可以使化生的柱状上皮逆转或者有确切的证据证明可以预防其癌变，因此不推荐预防性使用质子泵抑制剂来预防食管异型增生（上皮内瘤变），只限于通过抑酸治疗改善患者胃食管反流的症状。巴雷特食管伴有糜烂性食管炎以及反流症状者建议应用大剂量抑酸剂治疗，另外可辅以黏膜保护剂、促动力药等</w:t>
      </w:r>
      <w:r>
        <w:rPr>
          <w:rFonts w:hint="eastAsia" w:ascii="宋体" w:hAnsi="宋体" w:eastAsia="宋体" w:cs="宋体"/>
          <w:color w:val="auto"/>
          <w:sz w:val="21"/>
          <w:szCs w:val="21"/>
          <w:vertAlign w:val="superscript"/>
          <w:lang w:val="en-US" w:eastAsia="zh-CN"/>
        </w:rPr>
        <w:t>[9]</w:t>
      </w:r>
      <w:r>
        <w:rPr>
          <w:rFonts w:hint="eastAsia" w:ascii="宋体" w:hAnsi="宋体" w:eastAsia="宋体" w:cs="宋体"/>
          <w:color w:val="auto"/>
          <w:sz w:val="21"/>
          <w:szCs w:val="21"/>
          <w:lang w:val="en-US" w:eastAsia="zh-CN"/>
        </w:rPr>
        <w:t>。</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7.4 瘥后防复</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度：强推荐；共识同意率：完全同意93.23%，</w:t>
      </w:r>
      <w:r>
        <w:rPr>
          <w:rFonts w:hint="eastAsia" w:ascii="黑体" w:hAnsi="黑体" w:eastAsia="黑体" w:cs="黑体"/>
          <w:color w:val="auto"/>
          <w:kern w:val="0"/>
          <w:sz w:val="21"/>
          <w:szCs w:val="21"/>
          <w:lang w:val="en-US" w:eastAsia="zh-CN" w:bidi="ar"/>
        </w:rPr>
        <w:t>同意但保留部分意见9.04%</w:t>
      </w:r>
      <w:r>
        <w:rPr>
          <w:rFonts w:hint="eastAsia" w:ascii="黑体" w:hAnsi="黑体" w:eastAsia="黑体" w:cs="黑体"/>
          <w:b w:val="0"/>
          <w:bCs w:val="0"/>
          <w:color w:val="auto"/>
          <w:kern w:val="2"/>
          <w:sz w:val="21"/>
          <w:szCs w:val="21"/>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7.4.1 概述</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对于干预后临床症状缓解和食管癌前病变逆转的这一</w:t>
      </w:r>
      <w:r>
        <w:rPr>
          <w:rFonts w:hint="eastAsia" w:hAnsi="宋体" w:eastAsia="宋体" w:cs="宋体"/>
          <w:color w:val="auto"/>
          <w:sz w:val="21"/>
          <w:szCs w:val="21"/>
          <w:lang w:val="en-US" w:eastAsia="zh-CN"/>
        </w:rPr>
        <w:t>部分</w:t>
      </w:r>
      <w:r>
        <w:rPr>
          <w:rFonts w:hint="eastAsia" w:ascii="宋体" w:hAnsi="宋体" w:eastAsia="宋体" w:cs="宋体"/>
          <w:color w:val="auto"/>
          <w:sz w:val="21"/>
          <w:szCs w:val="21"/>
          <w:lang w:val="en-US" w:eastAsia="zh-CN"/>
        </w:rPr>
        <w:t>人群，通过改变不良的生活习惯和饮食习惯，适当进行体育运动和康复锻炼，可以防止食管癌前病变的复发。</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7.4.2 改变不良生活习惯</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Cs w:val="21"/>
          <w:lang w:val="en-US" w:eastAsia="zh-CN"/>
        </w:rPr>
      </w:pPr>
      <w:r>
        <w:rPr>
          <w:rFonts w:hint="default" w:ascii="宋体" w:hAnsi="宋体" w:eastAsia="宋体" w:cs="宋体"/>
          <w:color w:val="auto"/>
          <w:szCs w:val="21"/>
          <w:lang w:val="en-US" w:eastAsia="zh-CN"/>
        </w:rPr>
        <w:t>长期吸烟和饮酒与食管癌</w:t>
      </w:r>
      <w:r>
        <w:rPr>
          <w:rFonts w:hint="eastAsia" w:hAnsi="宋体" w:eastAsia="宋体" w:cs="宋体"/>
          <w:color w:val="auto"/>
          <w:szCs w:val="21"/>
          <w:lang w:val="en-US" w:eastAsia="zh-CN"/>
        </w:rPr>
        <w:t>前病变</w:t>
      </w:r>
      <w:r>
        <w:rPr>
          <w:rFonts w:hint="default" w:ascii="宋体" w:hAnsi="宋体" w:eastAsia="宋体" w:cs="宋体"/>
          <w:color w:val="auto"/>
          <w:szCs w:val="21"/>
          <w:lang w:val="en-US" w:eastAsia="zh-CN"/>
        </w:rPr>
        <w:t>发病有关。白酒和香烟中的有害物质对</w:t>
      </w:r>
      <w:r>
        <w:rPr>
          <w:rFonts w:hint="eastAsia" w:hAnsi="宋体" w:eastAsia="宋体" w:cs="宋体"/>
          <w:color w:val="auto"/>
          <w:szCs w:val="21"/>
          <w:lang w:val="en-US" w:eastAsia="zh-CN"/>
        </w:rPr>
        <w:t>食管黏膜</w:t>
      </w:r>
      <w:r>
        <w:rPr>
          <w:rFonts w:hint="default" w:ascii="宋体" w:hAnsi="宋体" w:eastAsia="宋体" w:cs="宋体"/>
          <w:color w:val="auto"/>
          <w:szCs w:val="21"/>
          <w:lang w:val="en-US" w:eastAsia="zh-CN"/>
        </w:rPr>
        <w:t>有强烈的破坏作用，长期酗酒嗜烟会导致</w:t>
      </w:r>
      <w:r>
        <w:rPr>
          <w:rFonts w:hint="eastAsia" w:hAnsi="宋体" w:eastAsia="宋体" w:cs="宋体"/>
          <w:color w:val="auto"/>
          <w:szCs w:val="21"/>
          <w:lang w:val="en-US" w:eastAsia="zh-CN"/>
        </w:rPr>
        <w:t>食管黏膜</w:t>
      </w:r>
      <w:r>
        <w:rPr>
          <w:rFonts w:hint="default" w:ascii="宋体" w:hAnsi="宋体" w:eastAsia="宋体" w:cs="宋体"/>
          <w:color w:val="auto"/>
          <w:szCs w:val="21"/>
          <w:lang w:val="en-US" w:eastAsia="zh-CN"/>
        </w:rPr>
        <w:t>反复受到破坏，得不到修复而导致病理性增生。不抽烟、不喝白酒是预防</w:t>
      </w:r>
      <w:r>
        <w:rPr>
          <w:rFonts w:hint="eastAsia" w:hAnsi="宋体" w:eastAsia="宋体" w:cs="宋体"/>
          <w:color w:val="auto"/>
          <w:szCs w:val="21"/>
          <w:lang w:val="en-US" w:eastAsia="zh-CN"/>
        </w:rPr>
        <w:t>复发</w:t>
      </w:r>
      <w:r>
        <w:rPr>
          <w:rFonts w:hint="default" w:ascii="宋体" w:hAnsi="宋体" w:eastAsia="宋体" w:cs="宋体"/>
          <w:color w:val="auto"/>
          <w:szCs w:val="21"/>
          <w:lang w:val="en-US" w:eastAsia="zh-CN"/>
        </w:rPr>
        <w:t>的关键。</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7.4.3 改变原有饮食习惯</w:t>
      </w:r>
    </w:p>
    <w:p>
      <w:pPr>
        <w:pStyle w:val="2"/>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Cs w:val="21"/>
          <w:lang w:val="en-US" w:eastAsia="zh-CN"/>
        </w:rPr>
      </w:pPr>
      <w:r>
        <w:rPr>
          <w:rFonts w:hint="default" w:ascii="宋体" w:hAnsi="宋体" w:eastAsia="宋体" w:cs="宋体"/>
          <w:color w:val="auto"/>
          <w:szCs w:val="21"/>
          <w:lang w:val="en-US" w:eastAsia="zh-CN"/>
        </w:rPr>
        <w:t>细嚼慢咽，按时就餐。</w:t>
      </w:r>
      <w:r>
        <w:rPr>
          <w:rFonts w:hint="eastAsia" w:hAnsi="宋体" w:eastAsia="宋体" w:cs="宋体"/>
          <w:color w:val="auto"/>
          <w:szCs w:val="21"/>
          <w:lang w:val="en-US" w:eastAsia="zh-CN"/>
        </w:rPr>
        <w:t>切忌</w:t>
      </w:r>
      <w:r>
        <w:rPr>
          <w:rFonts w:hint="default" w:ascii="宋体" w:hAnsi="宋体" w:eastAsia="宋体" w:cs="宋体"/>
          <w:color w:val="auto"/>
          <w:szCs w:val="21"/>
          <w:lang w:val="en-US" w:eastAsia="zh-CN"/>
        </w:rPr>
        <w:t>进食过热</w:t>
      </w:r>
      <w:r>
        <w:rPr>
          <w:rFonts w:hint="eastAsia" w:hAnsi="宋体" w:eastAsia="宋体" w:cs="宋体"/>
          <w:color w:val="auto"/>
          <w:szCs w:val="21"/>
          <w:lang w:val="en-US" w:eastAsia="zh-CN"/>
        </w:rPr>
        <w:t>过快</w:t>
      </w:r>
      <w:r>
        <w:rPr>
          <w:rFonts w:hint="default" w:ascii="宋体" w:hAnsi="宋体" w:eastAsia="宋体" w:cs="宋体"/>
          <w:color w:val="auto"/>
          <w:szCs w:val="21"/>
          <w:lang w:val="en-US" w:eastAsia="zh-CN"/>
        </w:rPr>
        <w:t>、过硬和刺激性强的食物</w:t>
      </w:r>
      <w:r>
        <w:rPr>
          <w:rFonts w:hint="eastAsia" w:hAnsi="宋体" w:eastAsia="宋体" w:cs="宋体"/>
          <w:color w:val="auto"/>
          <w:szCs w:val="21"/>
          <w:lang w:val="en-US" w:eastAsia="zh-CN"/>
        </w:rPr>
        <w:t>，以上因素会</w:t>
      </w:r>
      <w:r>
        <w:rPr>
          <w:rFonts w:hint="default" w:ascii="宋体" w:hAnsi="宋体" w:eastAsia="宋体" w:cs="宋体"/>
          <w:color w:val="auto"/>
          <w:szCs w:val="21"/>
          <w:lang w:val="en-US" w:eastAsia="zh-CN"/>
        </w:rPr>
        <w:t>导致口腔、食管和胃黏膜的损害</w:t>
      </w:r>
      <w:r>
        <w:rPr>
          <w:rFonts w:hint="eastAsia" w:hAnsi="宋体" w:eastAsia="宋体" w:cs="宋体"/>
          <w:color w:val="auto"/>
          <w:szCs w:val="21"/>
          <w:lang w:val="en-US" w:eastAsia="zh-CN"/>
        </w:rPr>
        <w:t>。避免进食腌制、烧烤等食物，补充营养，做到营养均衡。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7.4.4 适当进行体育运动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val="en-US" w:eastAsia="zh-CN"/>
        </w:rPr>
        <w:t>起居、锻炼、生活要有规律，保证充足的睡眠和休息。</w:t>
      </w:r>
      <w:r>
        <w:rPr>
          <w:rFonts w:hint="default" w:ascii="宋体" w:hAnsi="宋体" w:eastAsia="宋体" w:cs="宋体"/>
          <w:color w:val="auto"/>
          <w:kern w:val="2"/>
          <w:sz w:val="21"/>
          <w:szCs w:val="21"/>
          <w:lang w:val="en-US" w:eastAsia="zh-CN" w:bidi="ar-SA"/>
        </w:rPr>
        <w:t>患者应努力培养乐观开朗的精神，并适当活动，</w:t>
      </w:r>
      <w:r>
        <w:rPr>
          <w:rFonts w:hint="eastAsia" w:ascii="宋体" w:hAnsi="宋体" w:eastAsia="宋体" w:cs="宋体"/>
          <w:color w:val="auto"/>
          <w:kern w:val="2"/>
          <w:sz w:val="21"/>
          <w:szCs w:val="21"/>
          <w:lang w:val="en-US" w:eastAsia="zh-CN" w:bidi="ar-SA"/>
        </w:rPr>
        <w:t>适当的体育锻炼</w:t>
      </w:r>
      <w:r>
        <w:rPr>
          <w:rFonts w:hint="eastAsia" w:hAnsi="宋体" w:eastAsia="宋体" w:cs="宋体"/>
          <w:color w:val="auto"/>
          <w:kern w:val="2"/>
          <w:sz w:val="21"/>
          <w:szCs w:val="21"/>
          <w:lang w:val="en-US" w:eastAsia="zh-CN" w:bidi="ar-SA"/>
        </w:rPr>
        <w:t>可</w:t>
      </w:r>
      <w:r>
        <w:rPr>
          <w:rFonts w:hint="eastAsia" w:ascii="宋体" w:hAnsi="宋体" w:eastAsia="宋体" w:cs="宋体"/>
          <w:color w:val="auto"/>
          <w:kern w:val="2"/>
          <w:sz w:val="21"/>
          <w:szCs w:val="21"/>
          <w:lang w:val="en-US" w:eastAsia="zh-CN" w:bidi="ar-SA"/>
        </w:rPr>
        <w:t>提高机体免疫状态，</w:t>
      </w:r>
      <w:r>
        <w:rPr>
          <w:rFonts w:hint="eastAsia" w:hAnsi="宋体" w:eastAsia="宋体" w:cs="宋体"/>
          <w:color w:val="auto"/>
          <w:kern w:val="2"/>
          <w:sz w:val="21"/>
          <w:szCs w:val="21"/>
          <w:lang w:val="en-US" w:eastAsia="zh-CN" w:bidi="ar-SA"/>
        </w:rPr>
        <w:t>但</w:t>
      </w:r>
      <w:r>
        <w:rPr>
          <w:rFonts w:hint="eastAsia" w:ascii="宋体" w:hAnsi="宋体" w:eastAsia="宋体" w:cs="宋体"/>
          <w:color w:val="auto"/>
          <w:kern w:val="2"/>
          <w:sz w:val="21"/>
          <w:szCs w:val="21"/>
          <w:lang w:val="en-US" w:eastAsia="zh-CN" w:bidi="ar-SA"/>
        </w:rPr>
        <w:t>切忌运动量过大。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heme="minorEastAsia" w:hAnsiTheme="minorEastAsia" w:eastAsiaTheme="minorEastAsia" w:cstheme="minorEastAsia"/>
          <w:b/>
          <w:bCs/>
          <w:color w:val="auto"/>
          <w:kern w:val="0"/>
          <w:sz w:val="21"/>
          <w:szCs w:val="21"/>
          <w:lang w:val="en-US" w:eastAsia="zh-CN" w:bidi="ar-SA"/>
        </w:rPr>
      </w:pPr>
      <w:r>
        <w:rPr>
          <w:rFonts w:hint="eastAsia" w:ascii="黑体" w:hAnsi="黑体" w:eastAsia="黑体" w:cs="黑体"/>
          <w:color w:val="auto"/>
          <w:kern w:val="2"/>
          <w:sz w:val="21"/>
          <w:szCs w:val="21"/>
          <w:lang w:val="en-US" w:eastAsia="zh-CN" w:bidi="ar-SA"/>
        </w:rPr>
        <w:t xml:space="preserve">7.4.5 </w:t>
      </w:r>
      <w:r>
        <w:rPr>
          <w:rFonts w:hint="eastAsia" w:asciiTheme="minorEastAsia" w:hAnsiTheme="minorEastAsia" w:cstheme="minorEastAsia"/>
          <w:b/>
          <w:bCs/>
          <w:color w:val="auto"/>
          <w:kern w:val="0"/>
          <w:sz w:val="21"/>
          <w:szCs w:val="21"/>
          <w:lang w:val="en-US" w:eastAsia="zh-CN" w:bidi="ar-SA"/>
        </w:rPr>
        <w:t>康复锻炼</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color w:val="auto"/>
          <w:lang w:val="en-US" w:eastAsia="zh-CN"/>
        </w:rPr>
      </w:pPr>
      <w:r>
        <w:rPr>
          <w:rFonts w:hint="eastAsia" w:asciiTheme="minorEastAsia" w:hAnsiTheme="minorEastAsia" w:cstheme="minorEastAsia"/>
          <w:b w:val="0"/>
          <w:bCs w:val="0"/>
          <w:color w:val="auto"/>
          <w:kern w:val="0"/>
          <w:sz w:val="21"/>
          <w:szCs w:val="21"/>
          <w:lang w:val="en-US" w:eastAsia="zh-CN" w:bidi="ar-SA"/>
        </w:rPr>
        <w:t>中医</w:t>
      </w:r>
      <w:r>
        <w:rPr>
          <w:rFonts w:hint="eastAsia" w:asciiTheme="minorEastAsia" w:hAnsiTheme="minorEastAsia" w:eastAsiaTheme="minorEastAsia" w:cstheme="minorEastAsia"/>
          <w:b w:val="0"/>
          <w:bCs w:val="0"/>
          <w:color w:val="auto"/>
          <w:kern w:val="0"/>
          <w:sz w:val="21"/>
          <w:szCs w:val="21"/>
          <w:lang w:val="en-US" w:eastAsia="zh-CN" w:bidi="ar-SA"/>
        </w:rPr>
        <w:t>在康复治疗方面，除了</w:t>
      </w:r>
      <w:r>
        <w:rPr>
          <w:rFonts w:hint="eastAsia" w:asciiTheme="minorEastAsia" w:hAnsiTheme="minorEastAsia" w:cstheme="minorEastAsia"/>
          <w:b w:val="0"/>
          <w:bCs w:val="0"/>
          <w:color w:val="auto"/>
          <w:kern w:val="0"/>
          <w:sz w:val="21"/>
          <w:szCs w:val="21"/>
          <w:lang w:val="en-US" w:eastAsia="zh-CN" w:bidi="ar-SA"/>
        </w:rPr>
        <w:t>药物干预</w:t>
      </w:r>
      <w:r>
        <w:rPr>
          <w:rFonts w:hint="eastAsia" w:asciiTheme="minorEastAsia" w:hAnsiTheme="minorEastAsia" w:eastAsiaTheme="minorEastAsia" w:cstheme="minorEastAsia"/>
          <w:b w:val="0"/>
          <w:bCs w:val="0"/>
          <w:color w:val="auto"/>
          <w:kern w:val="0"/>
          <w:sz w:val="21"/>
          <w:szCs w:val="21"/>
          <w:lang w:val="en-US" w:eastAsia="zh-CN" w:bidi="ar-SA"/>
        </w:rPr>
        <w:t>治疗，最重要的还有导引疗法。如太极拳、八段锦等，通过调息、调身、调心，达到防病治病、健身延年的目的。有研究显示八段锦、太极拳运动能有效减轻</w:t>
      </w:r>
      <w:r>
        <w:rPr>
          <w:rFonts w:hint="eastAsia" w:asciiTheme="minorEastAsia" w:hAnsiTheme="minorEastAsia" w:cstheme="minorEastAsia"/>
          <w:b w:val="0"/>
          <w:bCs w:val="0"/>
          <w:color w:val="auto"/>
          <w:kern w:val="0"/>
          <w:sz w:val="21"/>
          <w:szCs w:val="21"/>
          <w:lang w:val="en-US" w:eastAsia="zh-CN" w:bidi="ar-SA"/>
        </w:rPr>
        <w:t>患者症状、</w:t>
      </w:r>
      <w:r>
        <w:rPr>
          <w:rFonts w:hint="eastAsia" w:asciiTheme="minorEastAsia" w:hAnsiTheme="minorEastAsia" w:eastAsiaTheme="minorEastAsia" w:cstheme="minorEastAsia"/>
          <w:b w:val="0"/>
          <w:bCs w:val="0"/>
          <w:color w:val="auto"/>
          <w:kern w:val="0"/>
          <w:sz w:val="21"/>
          <w:szCs w:val="21"/>
          <w:lang w:val="en-US" w:eastAsia="zh-CN" w:bidi="ar-SA"/>
        </w:rPr>
        <w:t>改善患者的睡眠质量、减轻患者焦虑和抑郁情</w:t>
      </w:r>
      <w:r>
        <w:rPr>
          <w:rFonts w:hint="eastAsia" w:asciiTheme="minorEastAsia" w:hAnsiTheme="minorEastAsia" w:cstheme="minorEastAsia"/>
          <w:b w:val="0"/>
          <w:bCs w:val="0"/>
          <w:color w:val="auto"/>
          <w:kern w:val="0"/>
          <w:sz w:val="21"/>
          <w:szCs w:val="21"/>
          <w:lang w:val="en-US" w:eastAsia="zh-CN" w:bidi="ar-SA"/>
        </w:rPr>
        <w:t>绪，有较好锻炼依从性。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7.4.6 随访管理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heme="minorEastAsia" w:hAnsiTheme="minorEastAsia" w:eastAsiaTheme="minorEastAsia" w:cstheme="minorEastAsia"/>
          <w:b w:val="0"/>
          <w:bCs w:val="0"/>
          <w:color w:val="auto"/>
          <w:kern w:val="0"/>
          <w:sz w:val="21"/>
          <w:szCs w:val="21"/>
          <w:lang w:val="en-US" w:eastAsia="zh-CN" w:bidi="ar-SA"/>
        </w:rPr>
      </w:pPr>
      <w:r>
        <w:rPr>
          <w:rFonts w:hint="eastAsia" w:asciiTheme="minorEastAsia" w:hAnsiTheme="minorEastAsia" w:eastAsiaTheme="minorEastAsia" w:cstheme="minorEastAsia"/>
          <w:b w:val="0"/>
          <w:bCs w:val="0"/>
          <w:color w:val="auto"/>
          <w:kern w:val="0"/>
          <w:sz w:val="21"/>
          <w:szCs w:val="21"/>
          <w:lang w:val="en-US" w:eastAsia="zh-CN" w:bidi="ar-SA"/>
        </w:rPr>
        <w:t>随访管理的内容包括认知、饮食、起居、劳逸、情志、心理管理等。</w:t>
      </w:r>
      <w:r>
        <w:rPr>
          <w:rFonts w:hint="eastAsia" w:ascii="宋体" w:hAnsi="宋体" w:cs="宋体"/>
          <w:color w:val="auto"/>
          <w:kern w:val="0"/>
        </w:rPr>
        <w:t>建立</w:t>
      </w:r>
      <w:r>
        <w:rPr>
          <w:rFonts w:hint="eastAsia" w:ascii="宋体" w:hAnsi="宋体" w:cs="宋体"/>
          <w:color w:val="auto"/>
          <w:kern w:val="0"/>
          <w:lang w:val="en-US" w:eastAsia="zh-CN"/>
        </w:rPr>
        <w:t>食管癌前病变患者</w:t>
      </w:r>
      <w:r>
        <w:rPr>
          <w:rFonts w:hint="eastAsia" w:ascii="宋体" w:hAnsi="宋体" w:cs="宋体"/>
          <w:color w:val="auto"/>
          <w:kern w:val="0"/>
        </w:rPr>
        <w:t>中医基本健康档案如年龄、性别、体重指数、家族史、病程、理化检查指标、体质分型以及患者的饮食习惯、运动习惯、烟酒等不良嗜好等；评估患者的心理状态。</w:t>
      </w:r>
      <w:r>
        <w:rPr>
          <w:rFonts w:hint="eastAsia" w:asciiTheme="minorEastAsia" w:hAnsiTheme="minorEastAsia" w:eastAsiaTheme="minorEastAsia" w:cstheme="minorEastAsia"/>
          <w:b w:val="0"/>
          <w:bCs w:val="0"/>
          <w:color w:val="auto"/>
          <w:kern w:val="0"/>
          <w:sz w:val="21"/>
          <w:szCs w:val="21"/>
          <w:lang w:val="en-US" w:eastAsia="zh-CN" w:bidi="ar-SA"/>
        </w:rPr>
        <w:t>对于康复后患者，建议进行专业的健康指导，定期接受随访和复查</w:t>
      </w:r>
      <w:r>
        <w:rPr>
          <w:rFonts w:hint="eastAsia" w:asciiTheme="minorEastAsia" w:hAnsiTheme="minorEastAsia" w:cstheme="minorEastAsia"/>
          <w:b w:val="0"/>
          <w:bCs w:val="0"/>
          <w:color w:val="auto"/>
          <w:kern w:val="0"/>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8 随访</w:t>
      </w:r>
      <w:r>
        <w:rPr>
          <w:rFonts w:hint="eastAsia" w:ascii="黑体" w:hAnsi="黑体" w:eastAsia="黑体" w:cs="黑体"/>
          <w:b w:val="0"/>
          <w:bCs w:val="0"/>
          <w:color w:val="auto"/>
          <w:kern w:val="2"/>
          <w:sz w:val="21"/>
          <w:szCs w:val="21"/>
          <w:lang w:val="en-US" w:eastAsia="zh-CN" w:bidi="ar-SA"/>
        </w:rPr>
        <w:t>（</w:t>
      </w:r>
      <w:r>
        <w:rPr>
          <w:rFonts w:hint="eastAsia" w:ascii="黑体" w:hAnsi="黑体" w:eastAsia="黑体" w:cs="黑体"/>
          <w:color w:val="auto"/>
          <w:kern w:val="2"/>
          <w:sz w:val="21"/>
          <w:szCs w:val="21"/>
          <w:lang w:val="en-US" w:eastAsia="zh-CN" w:bidi="ar-SA"/>
        </w:rPr>
        <w:t>推荐强</w:t>
      </w:r>
      <w:r>
        <w:rPr>
          <w:rFonts w:hint="eastAsia" w:ascii="黑体" w:hAnsi="黑体" w:eastAsia="黑体" w:cs="黑体"/>
          <w:b w:val="0"/>
          <w:bCs w:val="0"/>
          <w:color w:val="auto"/>
          <w:kern w:val="2"/>
          <w:sz w:val="21"/>
          <w:szCs w:val="21"/>
          <w:lang w:val="en-US" w:eastAsia="zh-CN" w:bidi="ar-SA"/>
        </w:rPr>
        <w:t>度：强推荐；共识同意率：完全同意93.33%，</w:t>
      </w:r>
      <w:r>
        <w:rPr>
          <w:rFonts w:hint="eastAsia" w:ascii="黑体" w:hAnsi="黑体" w:eastAsia="黑体" w:cs="黑体"/>
          <w:color w:val="auto"/>
          <w:kern w:val="0"/>
          <w:sz w:val="21"/>
          <w:szCs w:val="21"/>
          <w:lang w:val="en-US" w:eastAsia="zh-CN" w:bidi="ar"/>
        </w:rPr>
        <w:t>同意但保留部分意见2.22%</w:t>
      </w:r>
      <w:r>
        <w:rPr>
          <w:rFonts w:hint="eastAsia" w:ascii="黑体" w:hAnsi="黑体" w:eastAsia="黑体" w:cs="黑体"/>
          <w:b w:val="0"/>
          <w:bCs w:val="0"/>
          <w:color w:val="auto"/>
          <w:kern w:val="2"/>
          <w:sz w:val="21"/>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对筛查发现的</w:t>
      </w:r>
      <w:r>
        <w:rPr>
          <w:rFonts w:hint="default" w:ascii="Times New Roman" w:hAnsi="Times New Roman" w:eastAsia="宋体" w:cs="Times New Roman"/>
          <w:color w:val="auto"/>
          <w:kern w:val="2"/>
          <w:sz w:val="21"/>
          <w:szCs w:val="21"/>
          <w:lang w:val="en-US" w:eastAsia="zh-CN" w:bidi="ar-SA"/>
        </w:rPr>
        <w:t>LGIN</w:t>
      </w:r>
      <w:r>
        <w:rPr>
          <w:rFonts w:hint="eastAsia" w:ascii="宋体" w:hAnsi="宋体" w:eastAsia="宋体" w:cs="宋体"/>
          <w:color w:val="auto"/>
          <w:sz w:val="21"/>
          <w:szCs w:val="21"/>
          <w:lang w:val="en-US" w:eastAsia="zh-CN"/>
        </w:rPr>
        <w:t>，病变直径大于1cm或者合并多重食管癌危险因素者，建议每1年进行1次内镜随访，其余患者可2～3年进行1次内镜随访，内镜随访应使用卢戈或电子染色内镜。患者</w:t>
      </w:r>
      <w:r>
        <w:rPr>
          <w:rFonts w:hint="eastAsia" w:ascii="宋体" w:hAnsi="宋体" w:eastAsia="宋体" w:cs="宋体"/>
          <w:color w:val="auto"/>
          <w:kern w:val="2"/>
          <w:sz w:val="21"/>
          <w:szCs w:val="21"/>
          <w:lang w:val="en-US" w:eastAsia="zh-CN" w:bidi="ar-SA"/>
        </w:rPr>
        <w:t>病灶活检病理学显示鳞状上皮</w:t>
      </w:r>
      <w:r>
        <w:rPr>
          <w:rFonts w:hint="default" w:ascii="Times New Roman" w:hAnsi="Times New Roman" w:eastAsia="宋体" w:cs="Times New Roman"/>
          <w:color w:val="auto"/>
          <w:kern w:val="2"/>
          <w:sz w:val="21"/>
          <w:szCs w:val="21"/>
          <w:lang w:val="en-US" w:eastAsia="zh-CN" w:bidi="ar-SA"/>
        </w:rPr>
        <w:t>LGIN</w:t>
      </w:r>
      <w:r>
        <w:rPr>
          <w:rFonts w:hint="eastAsia" w:ascii="宋体" w:hAnsi="宋体" w:eastAsia="宋体" w:cs="宋体"/>
          <w:color w:val="auto"/>
          <w:kern w:val="2"/>
          <w:sz w:val="21"/>
          <w:szCs w:val="21"/>
          <w:lang w:val="en-US" w:eastAsia="zh-CN" w:bidi="ar-SA"/>
        </w:rPr>
        <w:t>，但内镜下有高级别病变表现，未行切除者应3～6个月内复查内镜并重新活检。病灶靶向活检病理学显示鳞状上皮</w:t>
      </w:r>
      <w:r>
        <w:rPr>
          <w:rFonts w:hint="default" w:ascii="Times New Roman" w:hAnsi="Times New Roman" w:eastAsia="宋体" w:cs="Times New Roman"/>
          <w:color w:val="auto"/>
          <w:kern w:val="2"/>
          <w:sz w:val="21"/>
          <w:szCs w:val="21"/>
          <w:lang w:val="en-US" w:eastAsia="zh-CN" w:bidi="ar-SA"/>
        </w:rPr>
        <w:t>LGIN</w:t>
      </w:r>
      <w:r>
        <w:rPr>
          <w:rFonts w:hint="eastAsia" w:ascii="宋体" w:hAnsi="宋体" w:eastAsia="宋体" w:cs="宋体"/>
          <w:color w:val="auto"/>
          <w:kern w:val="2"/>
          <w:sz w:val="21"/>
          <w:szCs w:val="21"/>
          <w:lang w:val="en-US" w:eastAsia="zh-CN" w:bidi="ar-SA"/>
        </w:rPr>
        <w:t>，不存在高级别病变表现或病理学升级危险因素者，推荐每1～2年1次上消化道内镜检查并进行靶向活检。癌前病变内镜治疗后第1年每3～6个月应复查上消化道内镜，若无明显异常，第2年开始每年进行1次内镜随访。合并前述危险因素者应适当缩短随访间期</w:t>
      </w:r>
      <w:r>
        <w:rPr>
          <w:rFonts w:hint="eastAsia" w:ascii="宋体" w:hAnsi="宋体" w:eastAsia="宋体" w:cs="宋体"/>
          <w:color w:val="auto"/>
          <w:kern w:val="2"/>
          <w:sz w:val="21"/>
          <w:szCs w:val="21"/>
          <w:vertAlign w:val="superscript"/>
          <w:lang w:val="en-US" w:eastAsia="zh-CN" w:bidi="ar-SA"/>
        </w:rPr>
        <w:t>[7]</w:t>
      </w:r>
      <w:r>
        <w:rPr>
          <w:rFonts w:hint="eastAsia" w:ascii="宋体" w:hAnsi="宋体" w:eastAsia="宋体" w:cs="宋体"/>
          <w:color w:val="auto"/>
          <w:kern w:val="2"/>
          <w:sz w:val="21"/>
          <w:szCs w:val="21"/>
          <w:lang w:val="en-US" w:eastAsia="zh-CN" w:bidi="ar-SA"/>
        </w:rPr>
        <w:t>。巴雷特食管建议用高分辨率内镜监测；对于巴雷特食管＜3cm且不伴有肠上皮化生或异型增生(上皮内瘤变)者，经重复4个象限内镜下黏膜活检证实无肠上皮化生，建议退出监测；巴雷特食管＜3cm伴有肠上皮化生者，建议每3～5年行1次内镜检查；对于巴雷特食管≥3cm者，建议每2～3年行1次内镜检查</w:t>
      </w:r>
      <w:r>
        <w:rPr>
          <w:rFonts w:hint="eastAsia" w:ascii="宋体" w:hAnsi="宋体" w:eastAsia="宋体" w:cs="宋体"/>
          <w:color w:val="auto"/>
          <w:kern w:val="2"/>
          <w:sz w:val="21"/>
          <w:szCs w:val="21"/>
          <w:vertAlign w:val="superscript"/>
          <w:lang w:val="en-US" w:eastAsia="zh-CN" w:bidi="ar-SA"/>
        </w:rPr>
        <w:t>[101]</w:t>
      </w:r>
      <w:r>
        <w:rPr>
          <w:rFonts w:hint="eastAsia" w:ascii="宋体" w:hAnsi="宋体" w:eastAsia="宋体" w:cs="宋体"/>
          <w:color w:val="auto"/>
          <w:kern w:val="2"/>
          <w:sz w:val="21"/>
          <w:szCs w:val="21"/>
          <w:lang w:val="en-US" w:eastAsia="zh-CN" w:bidi="ar-SA"/>
        </w:rPr>
        <w:t>。</w:t>
      </w:r>
      <w:bookmarkEnd w:id="18"/>
      <w:bookmarkEnd w:id="19"/>
      <w:bookmarkStart w:id="34" w:name="_Toc509933873"/>
      <w:bookmarkStart w:id="35" w:name="_Toc510534552"/>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9 临床问题、推荐意见、证据描述</w:t>
      </w:r>
    </w:p>
    <w:p>
      <w:pPr>
        <w:pStyle w:val="2"/>
        <w:keepNext w:val="0"/>
        <w:keepLines w:val="0"/>
        <w:pageBreakBefore w:val="0"/>
        <w:kinsoku/>
        <w:wordWrap/>
        <w:overflowPunct/>
        <w:topLinePunct w:val="0"/>
        <w:autoSpaceDE/>
        <w:autoSpaceDN/>
        <w:bidi w:val="0"/>
        <w:adjustRightInd/>
        <w:snapToGrid/>
        <w:spacing w:line="360" w:lineRule="exact"/>
        <w:textAlignment w:val="auto"/>
        <w:rPr>
          <w:rStyle w:val="36"/>
          <w:rFonts w:hint="eastAsia" w:ascii="黑体" w:hAnsi="黑体" w:eastAsia="黑体" w:cs="黑体"/>
          <w:b w:val="0"/>
          <w:bCs/>
          <w:color w:val="auto"/>
          <w:kern w:val="2"/>
          <w:sz w:val="21"/>
          <w:szCs w:val="21"/>
          <w:lang w:val="en-US" w:eastAsia="zh-CN"/>
        </w:rPr>
      </w:pPr>
      <w:r>
        <w:rPr>
          <w:rFonts w:hint="eastAsia" w:ascii="黑体" w:hAnsi="黑体" w:eastAsia="黑体" w:cs="黑体"/>
          <w:color w:val="auto"/>
          <w:kern w:val="2"/>
          <w:sz w:val="21"/>
          <w:szCs w:val="21"/>
          <w:lang w:val="en-US" w:eastAsia="zh-CN" w:bidi="ar-SA"/>
        </w:rPr>
        <w:t xml:space="preserve">9.1 </w:t>
      </w:r>
      <w:r>
        <w:rPr>
          <w:rStyle w:val="36"/>
          <w:rFonts w:hint="eastAsia" w:ascii="黑体" w:hAnsi="黑体" w:eastAsia="黑体" w:cs="黑体"/>
          <w:b w:val="0"/>
          <w:bCs/>
          <w:color w:val="auto"/>
          <w:kern w:val="2"/>
          <w:sz w:val="21"/>
          <w:szCs w:val="21"/>
          <w:lang w:val="en-US" w:eastAsia="zh-CN"/>
        </w:rPr>
        <w:t>中医药是否能降低食管癌前病变的癌变率？</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kern w:val="2"/>
          <w:sz w:val="21"/>
          <w:szCs w:val="21"/>
          <w:u w:val="single"/>
          <w:lang w:val="en-US" w:eastAsia="zh-CN" w:bidi="ar-SA"/>
        </w:rPr>
      </w:pPr>
      <w:r>
        <w:rPr>
          <w:rStyle w:val="36"/>
          <w:rFonts w:hint="eastAsia" w:ascii="黑体" w:hAnsi="黑体" w:eastAsia="黑体" w:cs="黑体"/>
          <w:b w:val="0"/>
          <w:bCs/>
          <w:color w:val="auto"/>
          <w:kern w:val="2"/>
          <w:sz w:val="21"/>
          <w:szCs w:val="21"/>
          <w:u w:val="single"/>
          <w:lang w:val="en-US" w:eastAsia="zh-CN"/>
        </w:rPr>
        <w:t>推荐意见：</w:t>
      </w:r>
      <w:r>
        <w:rPr>
          <w:rFonts w:hint="eastAsia" w:hAnsi="宋体" w:eastAsia="宋体" w:cs="宋体"/>
          <w:color w:val="auto"/>
          <w:kern w:val="2"/>
          <w:sz w:val="21"/>
          <w:szCs w:val="21"/>
          <w:u w:val="single"/>
          <w:lang w:val="en-US" w:eastAsia="zh-CN" w:bidi="ar-SA"/>
        </w:rPr>
        <w:t>有多项研究表明，应用</w:t>
      </w:r>
      <w:r>
        <w:rPr>
          <w:rFonts w:hint="eastAsia" w:ascii="宋体" w:hAnsi="宋体" w:eastAsia="宋体" w:cs="宋体"/>
          <w:color w:val="auto"/>
          <w:kern w:val="2"/>
          <w:sz w:val="21"/>
          <w:szCs w:val="21"/>
          <w:u w:val="single"/>
          <w:lang w:val="en-US" w:eastAsia="zh-CN" w:bidi="ar-SA"/>
        </w:rPr>
        <w:t>中医药</w:t>
      </w:r>
      <w:r>
        <w:rPr>
          <w:rFonts w:hint="eastAsia" w:hAnsi="宋体" w:eastAsia="宋体" w:cs="宋体"/>
          <w:color w:val="auto"/>
          <w:kern w:val="2"/>
          <w:sz w:val="21"/>
          <w:szCs w:val="21"/>
          <w:u w:val="single"/>
          <w:lang w:val="en-US" w:eastAsia="zh-CN" w:bidi="ar-SA"/>
        </w:rPr>
        <w:t>对食管癌前病变患者进行治疗，</w:t>
      </w:r>
      <w:r>
        <w:rPr>
          <w:rFonts w:hint="eastAsia" w:ascii="宋体" w:hAnsi="宋体" w:eastAsia="宋体" w:cs="宋体"/>
          <w:color w:val="auto"/>
          <w:kern w:val="2"/>
          <w:sz w:val="21"/>
          <w:szCs w:val="21"/>
          <w:u w:val="single"/>
          <w:lang w:val="en-US" w:eastAsia="zh-CN" w:bidi="ar-SA"/>
        </w:rPr>
        <w:t>可以降低</w:t>
      </w:r>
      <w:r>
        <w:rPr>
          <w:rFonts w:hint="eastAsia" w:hAnsi="宋体" w:eastAsia="宋体" w:cs="宋体"/>
          <w:color w:val="auto"/>
          <w:kern w:val="2"/>
          <w:sz w:val="21"/>
          <w:szCs w:val="21"/>
          <w:u w:val="single"/>
          <w:lang w:val="en-US" w:eastAsia="zh-CN" w:bidi="ar-SA"/>
        </w:rPr>
        <w:t>食管癌前病变患者的癌变率。</w:t>
      </w:r>
      <w:r>
        <w:rPr>
          <w:rFonts w:hint="eastAsia" w:ascii="黑体" w:hAnsi="黑体" w:eastAsia="黑体" w:cs="黑体"/>
          <w:b w:val="0"/>
          <w:bCs w:val="0"/>
          <w:color w:val="auto"/>
          <w:kern w:val="2"/>
          <w:sz w:val="21"/>
          <w:szCs w:val="21"/>
          <w:u w:val="single"/>
          <w:lang w:val="en-US" w:eastAsia="zh-CN" w:bidi="ar-SA"/>
        </w:rPr>
        <w:t>（证据级别：</w:t>
      </w:r>
      <w:r>
        <w:rPr>
          <w:rFonts w:hint="default" w:ascii="Times New Roman" w:hAnsi="Times New Roman" w:eastAsia="黑体" w:cs="Times New Roman"/>
          <w:b w:val="0"/>
          <w:bCs w:val="0"/>
          <w:color w:val="auto"/>
          <w:kern w:val="2"/>
          <w:sz w:val="21"/>
          <w:szCs w:val="21"/>
          <w:u w:val="single"/>
          <w:lang w:val="en-US" w:eastAsia="zh-CN" w:bidi="ar-SA"/>
        </w:rPr>
        <w:t>I</w:t>
      </w:r>
      <w:r>
        <w:rPr>
          <w:rFonts w:hint="eastAsia" w:ascii="黑体" w:hAnsi="黑体" w:eastAsia="黑体" w:cs="黑体"/>
          <w:b w:val="0"/>
          <w:bCs w:val="0"/>
          <w:color w:val="auto"/>
          <w:kern w:val="2"/>
          <w:sz w:val="21"/>
          <w:szCs w:val="21"/>
          <w:u w:val="single"/>
          <w:lang w:val="en-US" w:eastAsia="zh-CN" w:bidi="ar-SA"/>
        </w:rPr>
        <w:t>级；推荐强度：强推荐）</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证据描述：</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w:t>
      </w:r>
      <w:r>
        <w:rPr>
          <w:rFonts w:hint="default" w:ascii="Times New Roman" w:hAnsi="Times New Roman" w:eastAsia="宋体" w:cs="Times New Roman"/>
          <w:color w:val="auto"/>
          <w:kern w:val="2"/>
          <w:sz w:val="21"/>
          <w:szCs w:val="21"/>
          <w:lang w:val="en-US" w:eastAsia="zh-CN" w:bidi="ar-SA"/>
        </w:rPr>
        <w:t>Meta</w:t>
      </w:r>
      <w:r>
        <w:rPr>
          <w:rFonts w:hint="eastAsia" w:ascii="宋体" w:hAnsi="宋体" w:eastAsia="宋体" w:cs="宋体"/>
          <w:color w:val="auto"/>
          <w:kern w:val="2"/>
          <w:sz w:val="21"/>
          <w:szCs w:val="21"/>
          <w:lang w:val="en-US" w:eastAsia="zh-CN" w:bidi="ar-SA"/>
        </w:rPr>
        <w:t>分析</w:t>
      </w:r>
      <w:r>
        <w:rPr>
          <w:rFonts w:hint="eastAsia" w:ascii="宋体" w:hAnsi="宋体" w:eastAsia="宋体" w:cs="宋体"/>
          <w:color w:val="auto"/>
          <w:kern w:val="2"/>
          <w:sz w:val="21"/>
          <w:szCs w:val="21"/>
          <w:vertAlign w:val="superscript"/>
          <w:lang w:val="en-US" w:eastAsia="zh-CN" w:bidi="ar-SA"/>
        </w:rPr>
        <w:t>[</w:t>
      </w:r>
      <w:r>
        <w:rPr>
          <w:rFonts w:hint="eastAsia" w:hAnsi="宋体" w:eastAsia="宋体" w:cs="宋体"/>
          <w:color w:val="auto"/>
          <w:kern w:val="2"/>
          <w:sz w:val="21"/>
          <w:szCs w:val="21"/>
          <w:vertAlign w:val="superscript"/>
          <w:lang w:val="en-US" w:eastAsia="zh-CN" w:bidi="ar-SA"/>
        </w:rPr>
        <w:t>4</w:t>
      </w:r>
      <w:r>
        <w:rPr>
          <w:rFonts w:hint="eastAsia" w:ascii="宋体" w:hAnsi="宋体" w:eastAsia="宋体" w:cs="宋体"/>
          <w:color w:val="auto"/>
          <w:kern w:val="2"/>
          <w:sz w:val="21"/>
          <w:szCs w:val="21"/>
          <w:vertAlign w:val="superscript"/>
          <w:lang w:val="en-US" w:eastAsia="zh-CN" w:bidi="ar-SA"/>
        </w:rPr>
        <w:t>]</w:t>
      </w:r>
      <w:r>
        <w:rPr>
          <w:rFonts w:hint="default" w:ascii="宋体" w:hAnsi="宋体" w:eastAsia="宋体" w:cs="宋体"/>
          <w:color w:val="auto"/>
          <w:kern w:val="2"/>
          <w:sz w:val="21"/>
          <w:szCs w:val="21"/>
          <w:lang w:val="en-US" w:eastAsia="zh-CN" w:bidi="ar-SA"/>
        </w:rPr>
        <w:t>对我国10年</w:t>
      </w:r>
      <w:r>
        <w:rPr>
          <w:rFonts w:hint="eastAsia" w:hAnsi="宋体" w:eastAsia="宋体" w:cs="宋体"/>
          <w:color w:val="auto"/>
          <w:kern w:val="2"/>
          <w:sz w:val="21"/>
          <w:szCs w:val="21"/>
          <w:lang w:val="en-US" w:eastAsia="zh-CN" w:bidi="ar-SA"/>
        </w:rPr>
        <w:t>间</w:t>
      </w:r>
      <w:r>
        <w:rPr>
          <w:rFonts w:hint="default" w:ascii="宋体" w:hAnsi="宋体" w:eastAsia="宋体" w:cs="宋体"/>
          <w:color w:val="auto"/>
          <w:kern w:val="2"/>
          <w:sz w:val="21"/>
          <w:szCs w:val="21"/>
          <w:lang w:val="en-US" w:eastAsia="zh-CN" w:bidi="ar-SA"/>
        </w:rPr>
        <w:t>中草药治疗食管癌前病变的研究文献进行定量合并</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以对照组与治疗组的癌变率差值作为</w:t>
      </w:r>
      <w:r>
        <w:rPr>
          <w:rFonts w:hint="default" w:ascii="Times New Roman" w:hAnsi="Times New Roman" w:eastAsia="宋体" w:cs="Times New Roman"/>
          <w:color w:val="auto"/>
          <w:kern w:val="2"/>
          <w:sz w:val="21"/>
          <w:szCs w:val="21"/>
          <w:lang w:val="en-US" w:eastAsia="zh-CN" w:bidi="ar-SA"/>
        </w:rPr>
        <w:t>Meta</w:t>
      </w:r>
      <w:r>
        <w:rPr>
          <w:rFonts w:hint="default" w:ascii="宋体" w:hAnsi="宋体" w:eastAsia="宋体" w:cs="宋体"/>
          <w:color w:val="auto"/>
          <w:kern w:val="2"/>
          <w:sz w:val="21"/>
          <w:szCs w:val="21"/>
          <w:lang w:val="en-US" w:eastAsia="zh-CN" w:bidi="ar-SA"/>
        </w:rPr>
        <w:t>分析的效应值。合并后治疗组2634例</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对照组2020例</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统计分析表明治疗组总体癌变率比对照组低</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95％</w:t>
      </w:r>
      <w:r>
        <w:rPr>
          <w:rFonts w:hint="default" w:ascii="Times New Roman" w:hAnsi="Times New Roman" w:eastAsia="宋体" w:cs="Times New Roman"/>
          <w:color w:val="auto"/>
          <w:kern w:val="2"/>
          <w:sz w:val="21"/>
          <w:szCs w:val="21"/>
          <w:lang w:val="en-US" w:eastAsia="zh-CN" w:bidi="ar-SA"/>
        </w:rPr>
        <w:t>CI</w:t>
      </w:r>
      <w:r>
        <w:rPr>
          <w:rFonts w:hint="default" w:ascii="宋体" w:hAnsi="宋体" w:eastAsia="宋体" w:cs="宋体"/>
          <w:color w:val="auto"/>
          <w:kern w:val="2"/>
          <w:sz w:val="21"/>
          <w:szCs w:val="21"/>
          <w:lang w:val="en-US" w:eastAsia="zh-CN" w:bidi="ar-SA"/>
        </w:rPr>
        <w:t>（0</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0456～0</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0769）；</w:t>
      </w:r>
      <w:r>
        <w:rPr>
          <w:rFonts w:hint="eastAsia" w:ascii="宋体" w:hAnsi="宋体" w:eastAsia="宋体" w:cs="宋体"/>
          <w:color w:val="auto"/>
          <w:kern w:val="2"/>
          <w:sz w:val="21"/>
          <w:szCs w:val="21"/>
          <w:lang w:val="en-US" w:eastAsia="zh-CN" w:bidi="ar-SA"/>
        </w:rPr>
        <w:t>本项</w:t>
      </w:r>
      <w:r>
        <w:rPr>
          <w:rFonts w:hint="default" w:ascii="Times New Roman" w:hAnsi="Times New Roman" w:eastAsia="宋体" w:cs="Times New Roman"/>
          <w:color w:val="auto"/>
          <w:kern w:val="2"/>
          <w:sz w:val="21"/>
          <w:szCs w:val="21"/>
          <w:lang w:val="en-US" w:eastAsia="zh-CN" w:bidi="ar-SA"/>
        </w:rPr>
        <w:t>Meta</w:t>
      </w:r>
      <w:r>
        <w:rPr>
          <w:rFonts w:hint="default" w:ascii="宋体" w:hAnsi="宋体" w:eastAsia="宋体" w:cs="宋体"/>
          <w:color w:val="auto"/>
          <w:kern w:val="2"/>
          <w:sz w:val="21"/>
          <w:szCs w:val="21"/>
          <w:lang w:val="en-US" w:eastAsia="zh-CN" w:bidi="ar-SA"/>
        </w:rPr>
        <w:t>分析证明我</w:t>
      </w:r>
      <w:r>
        <w:rPr>
          <w:rFonts w:hint="eastAsia" w:ascii="宋体" w:hAnsi="宋体" w:eastAsia="宋体" w:cs="宋体"/>
          <w:color w:val="auto"/>
          <w:kern w:val="2"/>
          <w:sz w:val="21"/>
          <w:szCs w:val="21"/>
          <w:lang w:val="en-US" w:eastAsia="zh-CN" w:bidi="ar-SA"/>
        </w:rPr>
        <w:t>国采用中草药治疗食管癌前病变可降低</w:t>
      </w:r>
      <w:r>
        <w:rPr>
          <w:rFonts w:hint="eastAsia" w:hAnsi="宋体" w:eastAsia="宋体" w:cs="宋体"/>
          <w:color w:val="auto"/>
          <w:kern w:val="2"/>
          <w:sz w:val="21"/>
          <w:szCs w:val="21"/>
          <w:lang w:val="en-US" w:eastAsia="zh-CN" w:bidi="ar-SA"/>
        </w:rPr>
        <w:t>其</w:t>
      </w:r>
      <w:r>
        <w:rPr>
          <w:rFonts w:hint="eastAsia" w:ascii="宋体" w:hAnsi="宋体" w:eastAsia="宋体" w:cs="宋体"/>
          <w:color w:val="auto"/>
          <w:kern w:val="2"/>
          <w:sz w:val="21"/>
          <w:szCs w:val="21"/>
          <w:lang w:val="en-US" w:eastAsia="zh-CN" w:bidi="ar-SA"/>
        </w:rPr>
        <w:t>癌变率。</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w:t>
      </w:r>
      <w:r>
        <w:rPr>
          <w:rFonts w:hint="eastAsia" w:hAnsi="宋体" w:eastAsia="宋体" w:cs="宋体"/>
          <w:color w:val="auto"/>
          <w:kern w:val="2"/>
          <w:sz w:val="21"/>
          <w:szCs w:val="21"/>
          <w:vertAlign w:val="superscript"/>
          <w:lang w:val="en-US" w:eastAsia="zh-CN" w:bidi="ar-SA"/>
        </w:rPr>
        <w:t>5</w:t>
      </w:r>
      <w:r>
        <w:rPr>
          <w:rFonts w:hint="eastAsia" w:ascii="宋体" w:hAnsi="宋体" w:eastAsia="宋体" w:cs="宋体"/>
          <w:color w:val="auto"/>
          <w:kern w:val="2"/>
          <w:sz w:val="21"/>
          <w:szCs w:val="21"/>
          <w:vertAlign w:val="superscript"/>
          <w:lang w:val="en-US" w:eastAsia="zh-CN" w:bidi="ar-SA"/>
        </w:rPr>
        <w:t>]</w:t>
      </w:r>
      <w:r>
        <w:rPr>
          <w:rFonts w:hint="default" w:ascii="宋体" w:hAnsi="宋体" w:eastAsia="宋体" w:cs="宋体"/>
          <w:color w:val="auto"/>
          <w:kern w:val="2"/>
          <w:sz w:val="21"/>
          <w:szCs w:val="21"/>
          <w:lang w:val="en-US" w:eastAsia="zh-CN" w:bidi="ar-SA"/>
        </w:rPr>
        <w:t>随机选择50例轻、中度异型增生作为中医治疗组</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口服中药</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，选择50例作为西医治疗组</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口服西药</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，选择50例口服安慰剂，作为参照组，经过</w:t>
      </w:r>
      <w:r>
        <w:rPr>
          <w:rFonts w:hint="eastAsia" w:hAnsi="宋体" w:eastAsia="宋体" w:cs="宋体"/>
          <w:color w:val="auto"/>
          <w:kern w:val="2"/>
          <w:sz w:val="21"/>
          <w:szCs w:val="21"/>
          <w:lang w:val="en-US" w:eastAsia="zh-CN" w:bidi="ar-SA"/>
        </w:rPr>
        <w:t>3</w:t>
      </w:r>
      <w:r>
        <w:rPr>
          <w:rFonts w:hint="default" w:ascii="宋体" w:hAnsi="宋体" w:eastAsia="宋体" w:cs="宋体"/>
          <w:color w:val="auto"/>
          <w:kern w:val="2"/>
          <w:sz w:val="21"/>
          <w:szCs w:val="21"/>
          <w:lang w:val="en-US" w:eastAsia="zh-CN" w:bidi="ar-SA"/>
        </w:rPr>
        <w:t>年的临床研究治疗，共治疗食管</w:t>
      </w:r>
      <w:r>
        <w:rPr>
          <w:rFonts w:hint="eastAsia" w:hAnsi="宋体" w:eastAsia="宋体" w:cs="宋体"/>
          <w:color w:val="auto"/>
          <w:kern w:val="2"/>
          <w:sz w:val="21"/>
          <w:szCs w:val="21"/>
          <w:lang w:val="en-US" w:eastAsia="zh-CN" w:bidi="ar-SA"/>
        </w:rPr>
        <w:t>黏膜</w:t>
      </w:r>
      <w:r>
        <w:rPr>
          <w:rFonts w:hint="default" w:ascii="宋体" w:hAnsi="宋体" w:eastAsia="宋体" w:cs="宋体"/>
          <w:color w:val="auto"/>
          <w:kern w:val="2"/>
          <w:sz w:val="21"/>
          <w:szCs w:val="21"/>
          <w:lang w:val="en-US" w:eastAsia="zh-CN" w:bidi="ar-SA"/>
        </w:rPr>
        <w:t>轻、中度异型增生病例168例，其中符合临床研究并参与治疗的有效病例为134例</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其中合并高血压、糖尿病、冠心病等原基础病较多者排除20例，服药不到一月者排除6例，治疗中间放弃或转其他地方治疗者5例，治疗中药物反应1例，中医药同时服药者1例，其他疾病、意外死亡1例</w:t>
      </w:r>
      <w:r>
        <w:rPr>
          <w:rFonts w:hint="eastAsia"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，其中中药治疗组48例，西药治疗组48例，</w:t>
      </w:r>
      <w:r>
        <w:rPr>
          <w:rFonts w:hint="eastAsia" w:hAnsi="宋体" w:eastAsia="宋体" w:cs="宋体"/>
          <w:color w:val="auto"/>
          <w:kern w:val="2"/>
          <w:sz w:val="21"/>
          <w:szCs w:val="21"/>
          <w:lang w:val="en-US" w:eastAsia="zh-CN" w:bidi="ar-SA"/>
        </w:rPr>
        <w:t>参照组</w:t>
      </w:r>
      <w:r>
        <w:rPr>
          <w:rFonts w:hint="default" w:ascii="宋体" w:hAnsi="宋体" w:eastAsia="宋体" w:cs="宋体"/>
          <w:color w:val="auto"/>
          <w:kern w:val="2"/>
          <w:sz w:val="21"/>
          <w:szCs w:val="21"/>
          <w:lang w:val="en-US" w:eastAsia="zh-CN" w:bidi="ar-SA"/>
        </w:rPr>
        <w:t>38例。</w:t>
      </w:r>
      <w:r>
        <w:rPr>
          <w:rFonts w:hint="eastAsia" w:hAnsi="宋体" w:eastAsia="宋体" w:cs="宋体"/>
          <w:color w:val="auto"/>
          <w:kern w:val="2"/>
          <w:sz w:val="21"/>
          <w:szCs w:val="21"/>
          <w:lang w:val="en-US" w:eastAsia="zh-CN" w:bidi="ar-SA"/>
        </w:rPr>
        <w:t>结果显示</w:t>
      </w:r>
      <w:r>
        <w:rPr>
          <w:rFonts w:hint="default" w:ascii="宋体" w:hAnsi="宋体" w:eastAsia="宋体" w:cs="宋体"/>
          <w:color w:val="auto"/>
          <w:kern w:val="2"/>
          <w:sz w:val="21"/>
          <w:szCs w:val="21"/>
          <w:lang w:val="en-US" w:eastAsia="zh-CN" w:bidi="ar-SA"/>
        </w:rPr>
        <w:t>中药治疗轻、中度异型增生有一定效果，其病理改善率达50%。</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9.2 哪些治法可以用于食管癌前病变的治疗？</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黑体" w:hAnsi="黑体" w:eastAsia="黑体" w:cs="黑体"/>
          <w:color w:val="auto"/>
          <w:kern w:val="2"/>
          <w:sz w:val="21"/>
          <w:szCs w:val="21"/>
          <w:u w:val="single"/>
          <w:lang w:val="en-US" w:eastAsia="zh-CN" w:bidi="ar-SA"/>
        </w:rPr>
      </w:pPr>
      <w:r>
        <w:rPr>
          <w:rFonts w:hint="eastAsia" w:ascii="黑体" w:hAnsi="黑体" w:eastAsia="黑体" w:cs="黑体"/>
          <w:color w:val="auto"/>
          <w:kern w:val="2"/>
          <w:sz w:val="21"/>
          <w:szCs w:val="21"/>
          <w:u w:val="single"/>
          <w:lang w:val="en-US" w:eastAsia="zh-CN" w:bidi="ar-SA"/>
        </w:rPr>
        <w:t>推荐意见：</w:t>
      </w:r>
      <w:r>
        <w:rPr>
          <w:rFonts w:hint="eastAsia" w:ascii="宋体" w:hAnsi="宋体" w:eastAsia="宋体" w:cs="宋体"/>
          <w:color w:val="auto"/>
          <w:kern w:val="2"/>
          <w:sz w:val="21"/>
          <w:szCs w:val="21"/>
          <w:u w:val="single"/>
          <w:lang w:val="en-US" w:eastAsia="zh-CN" w:bidi="ar-SA"/>
        </w:rPr>
        <w:t>辛开苦降法和清热活血法在改善食管癌前病变患者临床症状及病理改善方面具有较好疗效</w:t>
      </w:r>
      <w:r>
        <w:rPr>
          <w:rFonts w:hint="eastAsia" w:ascii="黑体" w:hAnsi="黑体" w:eastAsia="黑体" w:cs="黑体"/>
          <w:b w:val="0"/>
          <w:bCs w:val="0"/>
          <w:color w:val="auto"/>
          <w:kern w:val="2"/>
          <w:sz w:val="21"/>
          <w:szCs w:val="21"/>
          <w:u w:val="single"/>
          <w:lang w:val="en-US" w:eastAsia="zh-CN" w:bidi="ar-SA"/>
        </w:rPr>
        <w:t>（证据级别：</w:t>
      </w:r>
      <w:r>
        <w:rPr>
          <w:rFonts w:hint="default" w:ascii="Times New Roman" w:hAnsi="Times New Roman" w:eastAsia="黑体" w:cs="Times New Roman"/>
          <w:color w:val="auto"/>
          <w:kern w:val="2"/>
          <w:sz w:val="21"/>
          <w:szCs w:val="21"/>
          <w:u w:val="single"/>
          <w:lang w:val="en-US" w:eastAsia="zh-CN" w:bidi="ar-SA"/>
        </w:rPr>
        <w:t>Ⅲ</w:t>
      </w:r>
      <w:r>
        <w:rPr>
          <w:rFonts w:hint="eastAsia" w:ascii="黑体" w:hAnsi="黑体" w:eastAsia="黑体" w:cs="黑体"/>
          <w:color w:val="auto"/>
          <w:kern w:val="2"/>
          <w:sz w:val="21"/>
          <w:szCs w:val="21"/>
          <w:u w:val="single"/>
          <w:lang w:val="en-US" w:eastAsia="zh-CN" w:bidi="ar-SA"/>
        </w:rPr>
        <w:t>级；推荐强</w:t>
      </w:r>
      <w:r>
        <w:rPr>
          <w:rFonts w:hint="eastAsia" w:ascii="黑体" w:hAnsi="黑体" w:eastAsia="黑体" w:cs="黑体"/>
          <w:b w:val="0"/>
          <w:bCs w:val="0"/>
          <w:color w:val="auto"/>
          <w:kern w:val="2"/>
          <w:sz w:val="21"/>
          <w:szCs w:val="21"/>
          <w:u w:val="single"/>
          <w:lang w:val="en-US" w:eastAsia="zh-CN" w:bidi="ar-SA"/>
        </w:rPr>
        <w:t>度：强推荐）</w:t>
      </w:r>
      <w:r>
        <w:rPr>
          <w:rFonts w:hint="default" w:ascii="宋体" w:hAnsi="宋体" w:eastAsia="宋体" w:cs="宋体"/>
          <w:color w:val="auto"/>
          <w:kern w:val="2"/>
          <w:sz w:val="21"/>
          <w:szCs w:val="21"/>
          <w:u w:val="single"/>
          <w:lang w:val="en-US" w:eastAsia="zh-CN" w:bidi="ar-SA"/>
        </w:rPr>
        <w:t>。疏肝化痰</w:t>
      </w:r>
      <w:r>
        <w:rPr>
          <w:rFonts w:hint="eastAsia" w:ascii="宋体" w:hAnsi="宋体" w:eastAsia="宋体" w:cs="宋体"/>
          <w:color w:val="auto"/>
          <w:kern w:val="2"/>
          <w:sz w:val="21"/>
          <w:szCs w:val="21"/>
          <w:u w:val="single"/>
          <w:lang w:val="en-US" w:eastAsia="zh-CN" w:bidi="ar-SA"/>
        </w:rPr>
        <w:t>、</w:t>
      </w:r>
      <w:r>
        <w:rPr>
          <w:rFonts w:hint="default" w:ascii="宋体" w:hAnsi="宋体" w:eastAsia="宋体" w:cs="宋体"/>
          <w:color w:val="auto"/>
          <w:kern w:val="2"/>
          <w:sz w:val="21"/>
          <w:szCs w:val="21"/>
          <w:u w:val="single"/>
          <w:lang w:val="en-US" w:eastAsia="zh-CN" w:bidi="ar-SA"/>
        </w:rPr>
        <w:t>育阴开郁</w:t>
      </w:r>
      <w:r>
        <w:rPr>
          <w:rFonts w:hint="eastAsia" w:ascii="宋体" w:hAnsi="宋体" w:eastAsia="宋体" w:cs="宋体"/>
          <w:color w:val="auto"/>
          <w:kern w:val="2"/>
          <w:sz w:val="21"/>
          <w:szCs w:val="21"/>
          <w:u w:val="single"/>
          <w:lang w:val="en-US" w:eastAsia="zh-CN" w:bidi="ar-SA"/>
        </w:rPr>
        <w:t>、</w:t>
      </w:r>
      <w:r>
        <w:rPr>
          <w:rFonts w:hint="default" w:ascii="宋体" w:hAnsi="宋体" w:eastAsia="宋体" w:cs="宋体"/>
          <w:color w:val="auto"/>
          <w:kern w:val="2"/>
          <w:sz w:val="21"/>
          <w:szCs w:val="21"/>
          <w:u w:val="single"/>
          <w:lang w:val="en-US" w:eastAsia="zh-CN" w:bidi="ar-SA"/>
        </w:rPr>
        <w:t>健脾解毒</w:t>
      </w:r>
      <w:r>
        <w:rPr>
          <w:rFonts w:hint="eastAsia" w:ascii="宋体" w:hAnsi="宋体" w:eastAsia="宋体" w:cs="宋体"/>
          <w:color w:val="auto"/>
          <w:kern w:val="2"/>
          <w:sz w:val="21"/>
          <w:szCs w:val="21"/>
          <w:u w:val="single"/>
          <w:lang w:val="en-US" w:eastAsia="zh-CN" w:bidi="ar-SA"/>
        </w:rPr>
        <w:t>法也可用于食管癌前病变的治疗</w:t>
      </w:r>
      <w:r>
        <w:rPr>
          <w:rFonts w:hint="eastAsia" w:ascii="黑体" w:hAnsi="黑体" w:eastAsia="黑体" w:cs="黑体"/>
          <w:b w:val="0"/>
          <w:bCs w:val="0"/>
          <w:color w:val="auto"/>
          <w:kern w:val="2"/>
          <w:sz w:val="21"/>
          <w:szCs w:val="21"/>
          <w:u w:val="single"/>
          <w:lang w:val="en-US" w:eastAsia="zh-CN" w:bidi="ar-SA"/>
        </w:rPr>
        <w:t>（证据级别：</w:t>
      </w:r>
      <w:r>
        <w:rPr>
          <w:rFonts w:hint="default" w:ascii="Times New Roman" w:hAnsi="Times New Roman" w:eastAsia="黑体" w:cs="Times New Roman"/>
          <w:b w:val="0"/>
          <w:bCs w:val="0"/>
          <w:color w:val="auto"/>
          <w:kern w:val="2"/>
          <w:sz w:val="21"/>
          <w:szCs w:val="21"/>
          <w:u w:val="single"/>
          <w:lang w:val="en-US" w:eastAsia="zh-CN" w:bidi="ar-SA"/>
        </w:rPr>
        <w:t>V</w:t>
      </w:r>
      <w:r>
        <w:rPr>
          <w:rFonts w:hint="eastAsia" w:ascii="黑体" w:hAnsi="黑体" w:eastAsia="黑体" w:cs="黑体"/>
          <w:color w:val="auto"/>
          <w:kern w:val="2"/>
          <w:sz w:val="21"/>
          <w:szCs w:val="21"/>
          <w:u w:val="single"/>
          <w:lang w:val="en-US" w:eastAsia="zh-CN" w:bidi="ar-SA"/>
        </w:rPr>
        <w:t>级；推荐强</w:t>
      </w:r>
      <w:r>
        <w:rPr>
          <w:rFonts w:hint="eastAsia" w:ascii="黑体" w:hAnsi="黑体" w:eastAsia="黑体" w:cs="黑体"/>
          <w:b w:val="0"/>
          <w:bCs w:val="0"/>
          <w:color w:val="auto"/>
          <w:kern w:val="2"/>
          <w:sz w:val="21"/>
          <w:szCs w:val="21"/>
          <w:u w:val="single"/>
          <w:lang w:val="en-US" w:eastAsia="zh-CN" w:bidi="ar-SA"/>
        </w:rPr>
        <w:t>度：弱推荐）</w:t>
      </w:r>
      <w:r>
        <w:rPr>
          <w:rFonts w:hint="eastAsia" w:ascii="宋体" w:hAnsi="宋体" w:eastAsia="宋体" w:cs="宋体"/>
          <w:color w:val="auto"/>
          <w:kern w:val="2"/>
          <w:sz w:val="21"/>
          <w:szCs w:val="21"/>
          <w:u w:val="single"/>
          <w:lang w:val="en-US" w:eastAsia="zh-CN" w:bidi="ar-SA"/>
        </w:rPr>
        <w:t>。</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证据描述：</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[102]</w:t>
      </w:r>
      <w:r>
        <w:rPr>
          <w:rFonts w:hint="eastAsia" w:ascii="宋体" w:hAnsi="宋体" w:eastAsia="宋体" w:cs="宋体"/>
          <w:color w:val="auto"/>
          <w:kern w:val="2"/>
          <w:sz w:val="21"/>
          <w:szCs w:val="21"/>
          <w:lang w:val="en-US" w:eastAsia="zh-CN" w:bidi="ar-SA"/>
        </w:rPr>
        <w:t>选取符合食管癌前病变诊断标准的110例患者随机分为两组，治疗组60例以辛开苦降法治疗，对照组50例以常规西药治疗。结果显示两组在近期疗效上，治疗组与对照组治愈率分别为71.7%、34.0%；远期疗效上，治疗组与对照组治愈率分别为70.0% 、26.0%。两组间比较差异均有非常显著性（</w:t>
      </w:r>
      <w:r>
        <w:rPr>
          <w:rFonts w:hint="default" w:ascii="Times New Roman" w:hAnsi="Times New Roman" w:eastAsia="宋体" w:cs="Times New Roman"/>
          <w:i/>
          <w:iCs/>
          <w:color w:val="auto"/>
          <w:kern w:val="2"/>
          <w:sz w:val="21"/>
          <w:szCs w:val="21"/>
          <w:lang w:val="en-US" w:eastAsia="zh-CN" w:bidi="ar-SA"/>
        </w:rPr>
        <w:t>P</w:t>
      </w:r>
      <w:r>
        <w:rPr>
          <w:rFonts w:hint="eastAsia" w:ascii="宋体" w:hAnsi="宋体" w:eastAsia="宋体" w:cs="宋体"/>
          <w:color w:val="auto"/>
          <w:kern w:val="2"/>
          <w:sz w:val="21"/>
          <w:szCs w:val="21"/>
          <w:lang w:val="en-US" w:eastAsia="zh-CN" w:bidi="ar-SA"/>
        </w:rPr>
        <w:t>＜0.01）。研究显示辛开苦降法治疗食管黏膜不典型增生疗效显著。</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一项观察清热活血合剂治疗食管黏膜不典型增生的近期疗效的研究</w:t>
      </w:r>
      <w:r>
        <w:rPr>
          <w:rFonts w:hint="eastAsia" w:ascii="宋体" w:hAnsi="宋体" w:eastAsia="宋体" w:cs="宋体"/>
          <w:color w:val="auto"/>
          <w:kern w:val="2"/>
          <w:sz w:val="21"/>
          <w:szCs w:val="21"/>
          <w:vertAlign w:val="superscript"/>
          <w:lang w:val="en-US" w:eastAsia="zh-CN" w:bidi="ar-SA"/>
        </w:rPr>
        <w:t>[103]</w:t>
      </w:r>
      <w:r>
        <w:rPr>
          <w:rFonts w:hint="eastAsia" w:ascii="宋体" w:hAnsi="宋体" w:eastAsia="宋体" w:cs="宋体"/>
          <w:color w:val="auto"/>
          <w:kern w:val="2"/>
          <w:sz w:val="21"/>
          <w:szCs w:val="21"/>
          <w:lang w:val="en-US" w:eastAsia="zh-CN" w:bidi="ar-SA"/>
        </w:rPr>
        <w:t>，将</w:t>
      </w:r>
      <w:r>
        <w:rPr>
          <w:rFonts w:hint="default" w:ascii="宋体" w:hAnsi="宋体" w:eastAsia="宋体" w:cs="宋体"/>
          <w:color w:val="auto"/>
          <w:kern w:val="2"/>
          <w:sz w:val="21"/>
          <w:szCs w:val="21"/>
          <w:lang w:val="en-US" w:eastAsia="zh-CN" w:bidi="ar-SA"/>
        </w:rPr>
        <w:t>58</w:t>
      </w:r>
      <w:r>
        <w:rPr>
          <w:rFonts w:hint="eastAsia" w:ascii="宋体" w:hAnsi="宋体" w:eastAsia="宋体" w:cs="宋体"/>
          <w:color w:val="auto"/>
          <w:kern w:val="2"/>
          <w:sz w:val="21"/>
          <w:szCs w:val="21"/>
          <w:lang w:val="en-US" w:eastAsia="zh-CN" w:bidi="ar-SA"/>
        </w:rPr>
        <w:t>例患者按随机对照的方法分为两组，各</w:t>
      </w:r>
      <w:r>
        <w:rPr>
          <w:rFonts w:hint="default" w:ascii="宋体" w:hAnsi="宋体" w:eastAsia="宋体" w:cs="宋体"/>
          <w:color w:val="auto"/>
          <w:kern w:val="2"/>
          <w:sz w:val="21"/>
          <w:szCs w:val="21"/>
          <w:lang w:val="en-US" w:eastAsia="zh-CN" w:bidi="ar-SA"/>
        </w:rPr>
        <w:t>29</w:t>
      </w:r>
      <w:r>
        <w:rPr>
          <w:rFonts w:hint="eastAsia" w:ascii="宋体" w:hAnsi="宋体" w:eastAsia="宋体" w:cs="宋体"/>
          <w:color w:val="auto"/>
          <w:kern w:val="2"/>
          <w:sz w:val="21"/>
          <w:szCs w:val="21"/>
          <w:lang w:val="en-US" w:eastAsia="zh-CN" w:bidi="ar-SA"/>
        </w:rPr>
        <w:t>例，治疗组采用清热活血合剂治疗，对照组采用核黄素治疗，疗程均为</w:t>
      </w:r>
      <w:r>
        <w:rPr>
          <w:rFonts w:hint="default" w:ascii="宋体" w:hAnsi="宋体" w:eastAsia="宋体" w:cs="宋体"/>
          <w:color w:val="auto"/>
          <w:kern w:val="2"/>
          <w:sz w:val="21"/>
          <w:szCs w:val="21"/>
          <w:lang w:val="en-US" w:eastAsia="zh-CN" w:bidi="ar-SA"/>
        </w:rPr>
        <w:t>3</w:t>
      </w:r>
      <w:r>
        <w:rPr>
          <w:rFonts w:hint="eastAsia" w:ascii="宋体" w:hAnsi="宋体" w:eastAsia="宋体" w:cs="宋体"/>
          <w:color w:val="auto"/>
          <w:kern w:val="2"/>
          <w:sz w:val="21"/>
          <w:szCs w:val="21"/>
          <w:lang w:val="en-US" w:eastAsia="zh-CN" w:bidi="ar-SA"/>
        </w:rPr>
        <w:t>个月，观察治疗前后患者的临床症状及病理改变情况。结果显示中医症状疗效比较，治疗组总有效率</w:t>
      </w:r>
      <w:r>
        <w:rPr>
          <w:rFonts w:hint="default" w:ascii="宋体" w:hAnsi="宋体" w:eastAsia="宋体" w:cs="宋体"/>
          <w:color w:val="auto"/>
          <w:kern w:val="2"/>
          <w:sz w:val="21"/>
          <w:szCs w:val="21"/>
          <w:lang w:val="en-US" w:eastAsia="zh-CN" w:bidi="ar-SA"/>
        </w:rPr>
        <w:t>93.1%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27/29</w:t>
      </w:r>
      <w:r>
        <w:rPr>
          <w:rFonts w:hint="eastAsia" w:ascii="宋体" w:hAnsi="宋体" w:eastAsia="宋体" w:cs="宋体"/>
          <w:color w:val="auto"/>
          <w:kern w:val="2"/>
          <w:sz w:val="21"/>
          <w:szCs w:val="21"/>
          <w:lang w:val="en-US" w:eastAsia="zh-CN" w:bidi="ar-SA"/>
        </w:rPr>
        <w:t>），对照组总有效率</w:t>
      </w:r>
      <w:r>
        <w:rPr>
          <w:rFonts w:hint="default" w:ascii="宋体" w:hAnsi="宋体" w:eastAsia="宋体" w:cs="宋体"/>
          <w:color w:val="auto"/>
          <w:kern w:val="2"/>
          <w:sz w:val="21"/>
          <w:szCs w:val="21"/>
          <w:lang w:val="en-US" w:eastAsia="zh-CN" w:bidi="ar-SA"/>
        </w:rPr>
        <w:t>65.5%</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19/ 29</w:t>
      </w:r>
      <w:r>
        <w:rPr>
          <w:rFonts w:hint="eastAsia" w:ascii="宋体" w:hAnsi="宋体" w:eastAsia="宋体" w:cs="宋体"/>
          <w:color w:val="auto"/>
          <w:kern w:val="2"/>
          <w:sz w:val="21"/>
          <w:szCs w:val="21"/>
          <w:lang w:val="en-US" w:eastAsia="zh-CN" w:bidi="ar-SA"/>
        </w:rPr>
        <w:t>），两组比较差异有统计学意义（</w:t>
      </w:r>
      <w:r>
        <w:rPr>
          <w:rFonts w:hint="default" w:ascii="Times New Roman" w:hAnsi="Times New Roman" w:eastAsia="宋体" w:cs="Times New Roman"/>
          <w:i/>
          <w:iCs/>
          <w:color w:val="auto"/>
          <w:kern w:val="2"/>
          <w:sz w:val="21"/>
          <w:szCs w:val="21"/>
          <w:lang w:val="en-US" w:eastAsia="zh-CN" w:bidi="ar-SA"/>
        </w:rPr>
        <w:t>P</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0.01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color w:val="auto"/>
          <w:lang w:val="en-US" w:eastAsia="zh-CN"/>
        </w:rPr>
      </w:pPr>
      <w:r>
        <w:rPr>
          <w:rFonts w:hint="eastAsia" w:ascii="宋体" w:hAnsi="宋体" w:eastAsia="宋体" w:cs="宋体"/>
          <w:color w:val="auto"/>
          <w:kern w:val="2"/>
          <w:sz w:val="21"/>
          <w:szCs w:val="21"/>
          <w:lang w:val="en-US" w:eastAsia="zh-CN" w:bidi="ar-SA"/>
        </w:rPr>
        <w:t>一项专家临床经验研究</w:t>
      </w:r>
      <w:r>
        <w:rPr>
          <w:rFonts w:hint="eastAsia" w:ascii="宋体" w:hAnsi="宋体" w:eastAsia="宋体" w:cs="宋体"/>
          <w:color w:val="auto"/>
          <w:kern w:val="2"/>
          <w:sz w:val="21"/>
          <w:szCs w:val="21"/>
          <w:vertAlign w:val="superscript"/>
          <w:lang w:val="en-US" w:eastAsia="zh-CN" w:bidi="ar-SA"/>
        </w:rPr>
        <w:t>[104]</w:t>
      </w:r>
      <w:r>
        <w:rPr>
          <w:rFonts w:hint="eastAsia" w:ascii="宋体" w:hAnsi="宋体" w:eastAsia="宋体" w:cs="宋体"/>
          <w:color w:val="auto"/>
          <w:kern w:val="2"/>
          <w:sz w:val="21"/>
          <w:szCs w:val="21"/>
          <w:lang w:val="en-US" w:eastAsia="zh-CN" w:bidi="ar-SA"/>
        </w:rPr>
        <w:t>认为治疗食管癌前疾病，应注重调畅气机，化痰散结，对于不同的食管癌前疾病予</w:t>
      </w:r>
      <w:r>
        <w:rPr>
          <w:rFonts w:hint="default" w:ascii="宋体" w:hAnsi="宋体" w:eastAsia="宋体" w:cs="宋体"/>
          <w:color w:val="auto"/>
          <w:kern w:val="2"/>
          <w:sz w:val="21"/>
          <w:szCs w:val="21"/>
          <w:lang w:val="en-US" w:eastAsia="zh-CN" w:bidi="ar-SA"/>
        </w:rPr>
        <w:t>以不同的治法</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或疏肝化痰，或育阴开郁，或健脾解毒，审因论治，应机而施，总以气畅痰化为目的</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这些对中医临证诊治食管癌前疾病有较大的借鉴意义。</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9.3 哪些方药可用于食管癌前病变的治疗？</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黑体" w:hAnsi="黑体" w:eastAsia="黑体" w:cs="黑体"/>
          <w:strike w:val="0"/>
          <w:dstrike w:val="0"/>
          <w:color w:val="auto"/>
          <w:kern w:val="2"/>
          <w:sz w:val="21"/>
          <w:szCs w:val="21"/>
          <w:u w:val="single"/>
          <w:lang w:val="en-US" w:eastAsia="zh-CN" w:bidi="ar-SA"/>
        </w:rPr>
      </w:pPr>
      <w:r>
        <w:rPr>
          <w:rFonts w:hint="eastAsia" w:ascii="黑体" w:hAnsi="黑体" w:eastAsia="黑体" w:cs="黑体"/>
          <w:strike w:val="0"/>
          <w:dstrike w:val="0"/>
          <w:color w:val="auto"/>
          <w:kern w:val="2"/>
          <w:sz w:val="21"/>
          <w:szCs w:val="21"/>
          <w:u w:val="single"/>
          <w:lang w:val="en-US" w:eastAsia="zh-CN" w:bidi="ar-SA"/>
        </w:rPr>
        <w:t>推荐意见：</w:t>
      </w:r>
      <w:r>
        <w:rPr>
          <w:rFonts w:hint="eastAsia" w:ascii="宋体" w:hAnsi="宋体" w:eastAsia="宋体" w:cs="宋体"/>
          <w:strike w:val="0"/>
          <w:dstrike w:val="0"/>
          <w:color w:val="auto"/>
          <w:kern w:val="2"/>
          <w:sz w:val="21"/>
          <w:szCs w:val="21"/>
          <w:u w:val="single"/>
          <w:lang w:val="en-US" w:eastAsia="zh-CN" w:bidi="ar-SA"/>
        </w:rPr>
        <w:t>多项研究表明半夏泻心汤、启膈散、半夏厚朴汤、柴胡舒肝散、逍遥散、五汁安中饮、沙参麦冬汤、通幽汤、参赭培气汤、复方苍豆丸可用于食管癌前病变的治疗。</w:t>
      </w:r>
      <w:r>
        <w:rPr>
          <w:rFonts w:hint="eastAsia" w:ascii="黑体" w:hAnsi="黑体" w:eastAsia="黑体" w:cs="黑体"/>
          <w:b w:val="0"/>
          <w:bCs w:val="0"/>
          <w:strike w:val="0"/>
          <w:dstrike w:val="0"/>
          <w:color w:val="auto"/>
          <w:kern w:val="2"/>
          <w:sz w:val="21"/>
          <w:szCs w:val="21"/>
          <w:u w:val="single"/>
          <w:lang w:val="en-US" w:eastAsia="zh-CN" w:bidi="ar-SA"/>
        </w:rPr>
        <w:t>（证据级别：</w:t>
      </w:r>
      <w:r>
        <w:rPr>
          <w:rFonts w:hint="default" w:ascii="Times New Roman" w:hAnsi="Times New Roman" w:eastAsia="黑体" w:cs="Times New Roman"/>
          <w:strike w:val="0"/>
          <w:dstrike w:val="0"/>
          <w:color w:val="auto"/>
          <w:kern w:val="2"/>
          <w:sz w:val="21"/>
          <w:szCs w:val="21"/>
          <w:u w:val="single"/>
          <w:lang w:val="en-US" w:eastAsia="zh-CN" w:bidi="ar-SA"/>
        </w:rPr>
        <w:t>Ⅴ</w:t>
      </w:r>
      <w:r>
        <w:rPr>
          <w:rFonts w:hint="eastAsia" w:ascii="黑体" w:hAnsi="黑体" w:eastAsia="黑体" w:cs="黑体"/>
          <w:strike w:val="0"/>
          <w:dstrike w:val="0"/>
          <w:color w:val="auto"/>
          <w:kern w:val="2"/>
          <w:sz w:val="21"/>
          <w:szCs w:val="21"/>
          <w:u w:val="single"/>
          <w:lang w:val="en-US" w:eastAsia="zh-CN" w:bidi="ar-SA"/>
        </w:rPr>
        <w:t>级；推荐强</w:t>
      </w:r>
      <w:r>
        <w:rPr>
          <w:rFonts w:hint="eastAsia" w:ascii="黑体" w:hAnsi="黑体" w:eastAsia="黑体" w:cs="黑体"/>
          <w:b w:val="0"/>
          <w:bCs w:val="0"/>
          <w:strike w:val="0"/>
          <w:dstrike w:val="0"/>
          <w:color w:val="auto"/>
          <w:kern w:val="2"/>
          <w:sz w:val="21"/>
          <w:szCs w:val="21"/>
          <w:u w:val="single"/>
          <w:lang w:val="en-US" w:eastAsia="zh-CN" w:bidi="ar-SA"/>
        </w:rPr>
        <w:t>度：强推荐）</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证据描述：</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两项采用半夏泻心汤治疗食管黏膜不典型增生的疗效观察</w:t>
      </w:r>
      <w:r>
        <w:rPr>
          <w:rFonts w:hint="eastAsia" w:ascii="宋体" w:hAnsi="宋体" w:eastAsia="宋体" w:cs="宋体"/>
          <w:color w:val="auto"/>
          <w:kern w:val="2"/>
          <w:sz w:val="21"/>
          <w:szCs w:val="21"/>
          <w:vertAlign w:val="superscript"/>
          <w:lang w:val="en-US" w:eastAsia="zh-CN" w:bidi="ar-SA"/>
        </w:rPr>
        <w:t>[102、105]</w:t>
      </w:r>
      <w:r>
        <w:rPr>
          <w:rFonts w:hint="eastAsia" w:ascii="宋体" w:hAnsi="宋体" w:eastAsia="宋体" w:cs="宋体"/>
          <w:color w:val="auto"/>
          <w:kern w:val="2"/>
          <w:sz w:val="21"/>
          <w:szCs w:val="21"/>
          <w:lang w:val="en-US" w:eastAsia="zh-CN" w:bidi="ar-SA"/>
        </w:rPr>
        <w:t>显示半夏泻心汤</w:t>
      </w:r>
      <w:r>
        <w:rPr>
          <w:rFonts w:hint="default" w:ascii="宋体" w:hAnsi="宋体" w:eastAsia="宋体" w:cs="宋体"/>
          <w:color w:val="auto"/>
          <w:kern w:val="2"/>
          <w:sz w:val="21"/>
          <w:szCs w:val="21"/>
          <w:lang w:val="en-US" w:eastAsia="zh-CN" w:bidi="ar-SA"/>
        </w:rPr>
        <w:t>治疗</w:t>
      </w:r>
      <w:r>
        <w:rPr>
          <w:rFonts w:hint="eastAsia" w:ascii="宋体" w:hAnsi="宋体" w:eastAsia="宋体" w:cs="宋体"/>
          <w:color w:val="auto"/>
          <w:kern w:val="2"/>
          <w:sz w:val="21"/>
          <w:szCs w:val="21"/>
          <w:lang w:val="en-US" w:eastAsia="zh-CN" w:bidi="ar-SA"/>
        </w:rPr>
        <w:t>食管黏膜</w:t>
      </w:r>
      <w:r>
        <w:rPr>
          <w:rFonts w:hint="default" w:ascii="宋体" w:hAnsi="宋体" w:eastAsia="宋体" w:cs="宋体"/>
          <w:color w:val="auto"/>
          <w:kern w:val="2"/>
          <w:sz w:val="21"/>
          <w:szCs w:val="21"/>
          <w:lang w:val="en-US" w:eastAsia="zh-CN" w:bidi="ar-SA"/>
        </w:rPr>
        <w:t>不典型增生疗效显著。</w:t>
      </w:r>
      <w:r>
        <w:rPr>
          <w:rFonts w:hint="eastAsia" w:ascii="宋体" w:hAnsi="宋体" w:eastAsia="宋体" w:cs="宋体"/>
          <w:color w:val="auto"/>
          <w:kern w:val="2"/>
          <w:sz w:val="21"/>
          <w:szCs w:val="21"/>
          <w:lang w:val="en-US" w:eastAsia="zh-CN" w:bidi="ar-SA"/>
        </w:rPr>
        <w:t>一项专家临床经验研究</w:t>
      </w:r>
      <w:r>
        <w:rPr>
          <w:rFonts w:hint="eastAsia" w:ascii="宋体" w:hAnsi="宋体" w:eastAsia="宋体" w:cs="宋体"/>
          <w:color w:val="auto"/>
          <w:kern w:val="2"/>
          <w:sz w:val="21"/>
          <w:szCs w:val="21"/>
          <w:vertAlign w:val="superscript"/>
          <w:lang w:val="en-US" w:eastAsia="zh-CN" w:bidi="ar-SA"/>
        </w:rPr>
        <w:t>[106]</w:t>
      </w:r>
      <w:r>
        <w:rPr>
          <w:rFonts w:hint="eastAsia" w:ascii="宋体" w:hAnsi="宋体" w:eastAsia="宋体" w:cs="宋体"/>
          <w:color w:val="auto"/>
          <w:kern w:val="2"/>
          <w:sz w:val="21"/>
          <w:szCs w:val="21"/>
          <w:lang w:val="en-US" w:eastAsia="zh-CN" w:bidi="ar-SA"/>
        </w:rPr>
        <w:t>认为食管癌前病变的主要病机为痰气交阻，主张治以甘寒濡润、化痰解郁，方用启膈散化裁，</w:t>
      </w:r>
      <w:r>
        <w:rPr>
          <w:rFonts w:hint="default" w:ascii="宋体" w:hAnsi="宋体" w:eastAsia="宋体" w:cs="宋体"/>
          <w:color w:val="auto"/>
          <w:kern w:val="2"/>
          <w:sz w:val="21"/>
          <w:szCs w:val="21"/>
          <w:lang w:val="en-US" w:eastAsia="zh-CN" w:bidi="ar-SA"/>
        </w:rPr>
        <w:t>能明显改善患者的临床症状，有效逆转食管癌前状态。</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[5]</w:t>
      </w:r>
      <w:r>
        <w:rPr>
          <w:rFonts w:hint="eastAsia" w:ascii="宋体" w:hAnsi="宋体" w:eastAsia="宋体" w:cs="宋体"/>
          <w:color w:val="auto"/>
          <w:kern w:val="2"/>
          <w:sz w:val="21"/>
          <w:szCs w:val="21"/>
          <w:lang w:val="en-US" w:eastAsia="zh-CN" w:bidi="ar-SA"/>
        </w:rPr>
        <w:t>表明应用启膈散合逍遥</w:t>
      </w:r>
      <w:r>
        <w:rPr>
          <w:rFonts w:hint="default" w:ascii="宋体" w:hAnsi="宋体" w:eastAsia="宋体" w:cs="宋体"/>
          <w:color w:val="auto"/>
          <w:kern w:val="2"/>
          <w:sz w:val="21"/>
          <w:szCs w:val="21"/>
          <w:lang w:val="en-US" w:eastAsia="zh-CN" w:bidi="ar-SA"/>
        </w:rPr>
        <w:t>散或用柴胡疏肝散合半夏厚朴汤加减</w:t>
      </w:r>
      <w:r>
        <w:rPr>
          <w:rFonts w:hint="eastAsia" w:ascii="宋体" w:hAnsi="宋体" w:eastAsia="宋体" w:cs="宋体"/>
          <w:color w:val="auto"/>
          <w:kern w:val="2"/>
          <w:sz w:val="21"/>
          <w:szCs w:val="21"/>
          <w:lang w:val="en-US" w:eastAsia="zh-CN" w:bidi="ar-SA"/>
        </w:rPr>
        <w:t>治疗痰气交阻型食管癌前病变患者，五汁安中饮和沙参麦冬汤加减治疗津亏热结证食管癌前病变患者，通幽汤加减治疗瘀血内阻证食管癌前病变患者，具</w:t>
      </w:r>
      <w:r>
        <w:rPr>
          <w:rFonts w:hint="default" w:ascii="宋体" w:hAnsi="宋体" w:eastAsia="宋体" w:cs="宋体"/>
          <w:color w:val="auto"/>
          <w:kern w:val="2"/>
          <w:sz w:val="21"/>
          <w:szCs w:val="21"/>
          <w:lang w:val="en-US" w:eastAsia="zh-CN" w:bidi="ar-SA"/>
        </w:rPr>
        <w:t>有一定</w:t>
      </w:r>
      <w:r>
        <w:rPr>
          <w:rFonts w:hint="eastAsia" w:ascii="宋体" w:hAnsi="宋体" w:eastAsia="宋体" w:cs="宋体"/>
          <w:color w:val="auto"/>
          <w:kern w:val="2"/>
          <w:sz w:val="21"/>
          <w:szCs w:val="21"/>
          <w:lang w:val="en-US" w:eastAsia="zh-CN" w:bidi="ar-SA"/>
        </w:rPr>
        <w:t>疗效。</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[107]</w:t>
      </w:r>
      <w:r>
        <w:rPr>
          <w:rFonts w:hint="default" w:ascii="宋体" w:hAnsi="宋体" w:eastAsia="宋体" w:cs="宋体"/>
          <w:color w:val="auto"/>
          <w:kern w:val="2"/>
          <w:sz w:val="21"/>
          <w:szCs w:val="21"/>
          <w:lang w:val="en-US" w:eastAsia="zh-CN" w:bidi="ar-SA"/>
        </w:rPr>
        <w:t>观察参赭培气汤</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党参15g、代赭石15g、炒白术10g、厚朴10g、半夏10g、浙贝10g、当归10g、天冬10g、三七6g</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加减治疗食管低级别上皮内瘤变的临床效果</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选取食管低级别上皮内瘤变患者共50例，采用随机数字表法将其分为对照组和治疗组，各25 例。对照组给予西药抑酸护胃，治疗组口服参赭培气汤加减方，疗程8周。治疗前及疗程开始后1、2、4、8周分别作中医证候评分量表的总积分判定中医证候疗效，疗程结束后停药4周，再次行电子胃镜检查，分别对内镜下表现、病理组织学表现加以统计，计算各病理表现及总分的改善程度。疗程结束后停药，并对所有病例跟踪随访24周以了解有无病情变化。结果</w:t>
      </w:r>
      <w:r>
        <w:rPr>
          <w:rFonts w:hint="eastAsia" w:ascii="宋体" w:hAnsi="宋体" w:eastAsia="宋体" w:cs="宋体"/>
          <w:color w:val="auto"/>
          <w:kern w:val="2"/>
          <w:sz w:val="21"/>
          <w:szCs w:val="21"/>
          <w:lang w:val="en-US" w:eastAsia="zh-CN" w:bidi="ar-SA"/>
        </w:rPr>
        <w:t>显示</w:t>
      </w:r>
      <w:r>
        <w:rPr>
          <w:rFonts w:hint="default" w:ascii="宋体" w:hAnsi="宋体" w:eastAsia="宋体" w:cs="宋体"/>
          <w:color w:val="auto"/>
          <w:kern w:val="2"/>
          <w:sz w:val="21"/>
          <w:szCs w:val="21"/>
          <w:lang w:val="en-US" w:eastAsia="zh-CN" w:bidi="ar-SA"/>
        </w:rPr>
        <w:t>治疗组的中医证候疗效、内镜下</w:t>
      </w:r>
      <w:r>
        <w:rPr>
          <w:rFonts w:hint="eastAsia" w:ascii="宋体" w:hAnsi="宋体" w:eastAsia="宋体" w:cs="宋体"/>
          <w:color w:val="auto"/>
          <w:kern w:val="2"/>
          <w:sz w:val="21"/>
          <w:szCs w:val="21"/>
          <w:lang w:val="en-US" w:eastAsia="zh-CN" w:bidi="ar-SA"/>
        </w:rPr>
        <w:t>食管黏膜</w:t>
      </w:r>
      <w:r>
        <w:rPr>
          <w:rFonts w:hint="default" w:ascii="宋体" w:hAnsi="宋体" w:eastAsia="宋体" w:cs="宋体"/>
          <w:color w:val="auto"/>
          <w:kern w:val="2"/>
          <w:sz w:val="21"/>
          <w:szCs w:val="21"/>
          <w:lang w:val="en-US" w:eastAsia="zh-CN" w:bidi="ar-SA"/>
        </w:rPr>
        <w:t>疗效及病理组织学疗效均优于对照组，差异有统计学意义（</w:t>
      </w:r>
      <w:r>
        <w:rPr>
          <w:rFonts w:hint="default" w:ascii="Times New Roman" w:hAnsi="Times New Roman" w:eastAsia="宋体" w:cs="Times New Roman"/>
          <w:i/>
          <w:iCs/>
          <w:color w:val="auto"/>
          <w:kern w:val="2"/>
          <w:sz w:val="21"/>
          <w:szCs w:val="21"/>
          <w:lang w:val="en-US" w:eastAsia="zh-CN" w:bidi="ar-SA"/>
        </w:rPr>
        <w:t>P</w:t>
      </w:r>
      <w:r>
        <w:rPr>
          <w:rFonts w:hint="default" w:ascii="宋体" w:hAnsi="宋体" w:eastAsia="宋体" w:cs="宋体"/>
          <w:color w:val="auto"/>
          <w:kern w:val="2"/>
          <w:sz w:val="21"/>
          <w:szCs w:val="21"/>
          <w:lang w:val="en-US" w:eastAsia="zh-CN" w:bidi="ar-SA"/>
        </w:rPr>
        <w:t>＜0.05）。参赭培气汤加减方治疗食管低级别上皮内瘤变，可提高病变的逆转率，避免内镜下各种微创疗法的过度治疗，且有效控制食管癌的发生。</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color w:val="auto"/>
          <w:lang w:val="en-US" w:eastAsia="zh-CN"/>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[108]</w:t>
      </w:r>
      <w:r>
        <w:rPr>
          <w:rFonts w:hint="eastAsia" w:ascii="宋体" w:hAnsi="宋体" w:eastAsia="宋体" w:cs="宋体"/>
          <w:color w:val="auto"/>
          <w:kern w:val="2"/>
          <w:sz w:val="21"/>
          <w:szCs w:val="21"/>
          <w:lang w:val="en-US" w:eastAsia="zh-CN" w:bidi="ar-SA"/>
        </w:rPr>
        <w:t>在食管癌高发区河北省磁县和涉县8个乡中进行食管脱落细胞学拉网普查共查出食管上皮细胞重度增生患者648例，将全部患者随机分为治疗组和对照组，治疗组服用复方苍豆丸（苍术、山豆根、绿茶组成，三者比例为3:3:1，共研细末，制成水丸），对照组服用安慰剂，两年后复查，治疗组食管癌癌变率为1.5%，对照组癌变率为4.2%，两组比较差别有非常显著性意义；治疗组重度增生好转率79.5%，对照组好转率50.2%，两组之间比较差别也有非常显著性意义，说明复方苍豆九有一定防癌作用。</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9.4 可治疗或改善食管癌前病变的中成药有哪些？</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黑体" w:hAnsi="黑体" w:eastAsia="黑体" w:cs="黑体"/>
          <w:color w:val="auto"/>
          <w:kern w:val="2"/>
          <w:sz w:val="21"/>
          <w:szCs w:val="21"/>
          <w:u w:val="single"/>
          <w:lang w:val="en-US" w:eastAsia="zh-CN" w:bidi="ar-SA"/>
        </w:rPr>
      </w:pPr>
      <w:r>
        <w:rPr>
          <w:rFonts w:hint="eastAsia" w:ascii="黑体" w:hAnsi="黑体" w:eastAsia="黑体" w:cs="黑体"/>
          <w:color w:val="auto"/>
          <w:kern w:val="2"/>
          <w:sz w:val="21"/>
          <w:szCs w:val="21"/>
          <w:u w:val="single"/>
          <w:lang w:val="en-US" w:eastAsia="zh-CN" w:bidi="ar-SA"/>
        </w:rPr>
        <w:t>推荐意见：</w:t>
      </w:r>
      <w:r>
        <w:rPr>
          <w:rFonts w:hint="eastAsia" w:ascii="宋体" w:hAnsi="宋体" w:eastAsia="宋体" w:cs="宋体"/>
          <w:color w:val="auto"/>
          <w:kern w:val="2"/>
          <w:sz w:val="21"/>
          <w:szCs w:val="21"/>
          <w:u w:val="single"/>
          <w:lang w:val="en-US" w:eastAsia="zh-CN" w:bidi="ar-SA"/>
        </w:rPr>
        <w:t>目前可改善食管癌前病变的中成药有增生平片、六味地黄丸、芪莲舒痞颗粒。</w:t>
      </w:r>
      <w:r>
        <w:rPr>
          <w:rFonts w:hint="eastAsia" w:ascii="黑体" w:hAnsi="黑体" w:eastAsia="黑体" w:cs="黑体"/>
          <w:b w:val="0"/>
          <w:bCs w:val="0"/>
          <w:color w:val="auto"/>
          <w:kern w:val="2"/>
          <w:sz w:val="21"/>
          <w:szCs w:val="21"/>
          <w:u w:val="single"/>
          <w:lang w:val="en-US" w:eastAsia="zh-CN" w:bidi="ar-SA"/>
        </w:rPr>
        <w:t>（证据级别：</w:t>
      </w:r>
      <w:r>
        <w:rPr>
          <w:rFonts w:hint="default" w:ascii="Times New Roman" w:hAnsi="Times New Roman" w:eastAsia="黑体" w:cs="Times New Roman"/>
          <w:color w:val="auto"/>
          <w:kern w:val="2"/>
          <w:sz w:val="21"/>
          <w:szCs w:val="21"/>
          <w:u w:val="single"/>
          <w:lang w:val="en-US" w:eastAsia="zh-CN" w:bidi="ar-SA"/>
        </w:rPr>
        <w:t>Ⅲ</w:t>
      </w:r>
      <w:r>
        <w:rPr>
          <w:rFonts w:hint="eastAsia" w:ascii="黑体" w:hAnsi="黑体" w:eastAsia="黑体" w:cs="黑体"/>
          <w:color w:val="auto"/>
          <w:kern w:val="2"/>
          <w:sz w:val="21"/>
          <w:szCs w:val="21"/>
          <w:u w:val="single"/>
          <w:lang w:val="en-US" w:eastAsia="zh-CN" w:bidi="ar-SA"/>
        </w:rPr>
        <w:t>级；推荐强</w:t>
      </w:r>
      <w:r>
        <w:rPr>
          <w:rFonts w:hint="eastAsia" w:ascii="黑体" w:hAnsi="黑体" w:eastAsia="黑体" w:cs="黑体"/>
          <w:b w:val="0"/>
          <w:bCs w:val="0"/>
          <w:color w:val="auto"/>
          <w:kern w:val="2"/>
          <w:sz w:val="21"/>
          <w:szCs w:val="21"/>
          <w:u w:val="single"/>
          <w:lang w:val="en-US" w:eastAsia="zh-CN" w:bidi="ar-SA"/>
        </w:rPr>
        <w:t>度：强推荐）</w:t>
      </w:r>
    </w:p>
    <w:p>
      <w:pPr>
        <w:pStyle w:val="2"/>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default" w:ascii="黑体" w:hAnsi="黑体" w:eastAsia="黑体" w:cs="黑体"/>
          <w:color w:val="auto"/>
          <w:kern w:val="2"/>
          <w:sz w:val="21"/>
          <w:szCs w:val="21"/>
          <w:lang w:val="en-US" w:eastAsia="zh-CN" w:bidi="ar-SA"/>
        </w:rPr>
      </w:pPr>
      <w:r>
        <w:rPr>
          <w:rFonts w:hint="eastAsia" w:ascii="黑体" w:hAnsi="黑体" w:eastAsia="黑体" w:cs="黑体"/>
          <w:color w:val="auto"/>
          <w:kern w:val="2"/>
          <w:sz w:val="21"/>
          <w:szCs w:val="21"/>
          <w:lang w:val="en-US" w:eastAsia="zh-CN" w:bidi="ar-SA"/>
        </w:rPr>
        <w:t>证据描述：</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[109]</w:t>
      </w:r>
      <w:r>
        <w:rPr>
          <w:rFonts w:hint="eastAsia" w:ascii="宋体" w:hAnsi="宋体" w:eastAsia="宋体" w:cs="宋体"/>
          <w:color w:val="auto"/>
          <w:kern w:val="2"/>
          <w:sz w:val="21"/>
          <w:szCs w:val="21"/>
          <w:lang w:val="en-US" w:eastAsia="zh-CN" w:bidi="ar-SA"/>
        </w:rPr>
        <w:t>对144</w:t>
      </w:r>
      <w:r>
        <w:rPr>
          <w:rFonts w:hint="default" w:ascii="宋体" w:hAnsi="宋体" w:eastAsia="宋体" w:cs="宋体"/>
          <w:color w:val="auto"/>
          <w:kern w:val="2"/>
          <w:sz w:val="21"/>
          <w:szCs w:val="21"/>
          <w:lang w:val="en-US" w:eastAsia="zh-CN" w:bidi="ar-SA"/>
        </w:rPr>
        <w:t>例食管上皮增生的病人随机分组</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治疗组108例，对照组36例。为了确定增生平的中医适应证候，又将治疗组分为热瘀内结证和肝郁气滞证两组，分别为75例和33例。经治疗后，</w:t>
      </w:r>
      <w:r>
        <w:rPr>
          <w:rFonts w:hint="eastAsia" w:ascii="宋体" w:hAnsi="宋体" w:eastAsia="宋体" w:cs="宋体"/>
          <w:color w:val="auto"/>
          <w:kern w:val="2"/>
          <w:sz w:val="21"/>
          <w:szCs w:val="21"/>
          <w:lang w:val="en-US" w:eastAsia="zh-CN" w:bidi="ar-SA"/>
        </w:rPr>
        <w:t>患者</w:t>
      </w:r>
      <w:r>
        <w:rPr>
          <w:rFonts w:hint="default" w:ascii="宋体" w:hAnsi="宋体" w:eastAsia="宋体" w:cs="宋体"/>
          <w:color w:val="auto"/>
          <w:kern w:val="2"/>
          <w:sz w:val="21"/>
          <w:szCs w:val="21"/>
          <w:lang w:val="en-US" w:eastAsia="zh-CN" w:bidi="ar-SA"/>
        </w:rPr>
        <w:t>症状明显好转，治疗组的食管上皮增生好转率为导光镜检查43</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活检病理检查为55</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6％，对照组分别是8</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3％和25</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0％，治疗组明显优于对照组。</w:t>
      </w:r>
      <w:r>
        <w:rPr>
          <w:rFonts w:hint="eastAsia" w:ascii="宋体" w:hAnsi="宋体" w:eastAsia="宋体" w:cs="宋体"/>
          <w:color w:val="auto"/>
          <w:kern w:val="2"/>
          <w:sz w:val="21"/>
          <w:szCs w:val="21"/>
          <w:lang w:val="en-US" w:eastAsia="zh-CN" w:bidi="ar-SA"/>
        </w:rPr>
        <w:t>治疗组两</w:t>
      </w:r>
      <w:r>
        <w:rPr>
          <w:rFonts w:hint="default" w:ascii="宋体" w:hAnsi="宋体" w:eastAsia="宋体" w:cs="宋体"/>
          <w:color w:val="auto"/>
          <w:kern w:val="2"/>
          <w:sz w:val="21"/>
          <w:szCs w:val="21"/>
          <w:lang w:val="en-US" w:eastAsia="zh-CN" w:bidi="ar-SA"/>
        </w:rPr>
        <w:t>个证候间比较</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热瘀内结证疗效优于肝郁气滞证</w:t>
      </w:r>
      <w:r>
        <w:rPr>
          <w:rFonts w:hint="eastAsia" w:ascii="宋体" w:hAnsi="宋体" w:eastAsia="宋体" w:cs="宋体"/>
          <w:color w:val="auto"/>
          <w:kern w:val="2"/>
          <w:sz w:val="21"/>
          <w:szCs w:val="21"/>
          <w:lang w:val="en-US" w:eastAsia="zh-CN" w:bidi="ar-SA"/>
        </w:rPr>
        <w:t>（</w:t>
      </w:r>
      <w:r>
        <w:rPr>
          <w:rFonts w:hint="default" w:ascii="Times New Roman" w:hAnsi="Times New Roman" w:eastAsia="宋体" w:cs="Times New Roman"/>
          <w:i/>
          <w:iCs/>
          <w:color w:val="auto"/>
          <w:kern w:val="2"/>
          <w:sz w:val="21"/>
          <w:szCs w:val="21"/>
          <w:lang w:val="en-US" w:eastAsia="zh-CN" w:bidi="ar-SA"/>
        </w:rPr>
        <w:t>P</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05</w:t>
      </w:r>
      <w:r>
        <w:rPr>
          <w:rFonts w:hint="eastAsia" w:ascii="宋体" w:hAnsi="宋体" w:eastAsia="宋体" w:cs="宋体"/>
          <w:color w:val="auto"/>
          <w:kern w:val="2"/>
          <w:sz w:val="21"/>
          <w:szCs w:val="21"/>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一项关于增生平治疗食管上皮增生的</w:t>
      </w:r>
      <w:r>
        <w:rPr>
          <w:rFonts w:hint="default" w:ascii="宋体" w:hAnsi="宋体" w:eastAsia="宋体" w:cs="宋体"/>
          <w:color w:val="auto"/>
          <w:kern w:val="2"/>
          <w:sz w:val="21"/>
          <w:szCs w:val="21"/>
          <w:lang w:val="en-US" w:eastAsia="zh-CN" w:bidi="ar-SA"/>
        </w:rPr>
        <w:t>Ⅲ</w:t>
      </w:r>
      <w:r>
        <w:rPr>
          <w:rFonts w:hint="eastAsia" w:ascii="宋体" w:hAnsi="宋体" w:eastAsia="宋体" w:cs="宋体"/>
          <w:color w:val="auto"/>
          <w:kern w:val="2"/>
          <w:sz w:val="21"/>
          <w:szCs w:val="21"/>
          <w:lang w:val="en-US" w:eastAsia="zh-CN" w:bidi="ar-SA"/>
        </w:rPr>
        <w:t>期临床观察</w:t>
      </w:r>
      <w:r>
        <w:rPr>
          <w:rFonts w:hint="eastAsia" w:ascii="宋体" w:hAnsi="宋体" w:eastAsia="宋体" w:cs="宋体"/>
          <w:color w:val="auto"/>
          <w:kern w:val="2"/>
          <w:sz w:val="21"/>
          <w:szCs w:val="21"/>
          <w:vertAlign w:val="superscript"/>
          <w:lang w:val="en-US" w:eastAsia="zh-CN" w:bidi="ar-SA"/>
        </w:rPr>
        <w:t>[110]</w:t>
      </w:r>
      <w:r>
        <w:rPr>
          <w:rFonts w:hint="eastAsia" w:ascii="宋体" w:hAnsi="宋体" w:eastAsia="宋体" w:cs="宋体"/>
          <w:color w:val="auto"/>
          <w:kern w:val="2"/>
          <w:sz w:val="21"/>
          <w:szCs w:val="21"/>
          <w:lang w:val="en-US" w:eastAsia="zh-CN" w:bidi="ar-SA"/>
        </w:rPr>
        <w:t>，采用多中心</w:t>
      </w:r>
      <w:r>
        <w:rPr>
          <w:rFonts w:hint="default" w:ascii="宋体" w:hAnsi="宋体" w:eastAsia="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单盲随机分组和安慰剂对照方法，观察增生平对食管癌高发区食管上皮增生患者的治疗作用。选择食管癌高发地区河北磁县现场</w:t>
      </w:r>
      <w:r>
        <w:rPr>
          <w:rFonts w:hint="default" w:ascii="宋体" w:hAnsi="宋体" w:eastAsia="宋体" w:cs="宋体"/>
          <w:color w:val="auto"/>
          <w:kern w:val="2"/>
          <w:sz w:val="21"/>
          <w:szCs w:val="21"/>
          <w:lang w:val="en-US" w:eastAsia="zh-CN" w:bidi="ar-SA"/>
        </w:rPr>
        <w:t>40～65</w:t>
      </w:r>
      <w:r>
        <w:rPr>
          <w:rFonts w:hint="eastAsia" w:ascii="宋体" w:hAnsi="宋体" w:eastAsia="宋体" w:cs="宋体"/>
          <w:color w:val="auto"/>
          <w:kern w:val="2"/>
          <w:sz w:val="21"/>
          <w:szCs w:val="21"/>
          <w:lang w:val="en-US" w:eastAsia="zh-CN" w:bidi="ar-SA"/>
        </w:rPr>
        <w:t>岁居民，先进行食管细胞学检查，对筛选出的食管上皮增生患者，再进行食管镜活检病理确诊。根据患者性别</w:t>
      </w:r>
      <w:r>
        <w:rPr>
          <w:rFonts w:hint="default" w:ascii="宋体" w:hAnsi="宋体" w:eastAsia="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年龄及食管病变的级别（轻</w:t>
      </w:r>
      <w:r>
        <w:rPr>
          <w:rFonts w:hint="default" w:ascii="宋体" w:hAnsi="宋体" w:eastAsia="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中</w:t>
      </w:r>
      <w:r>
        <w:rPr>
          <w:rFonts w:hint="default" w:ascii="宋体" w:hAnsi="宋体" w:eastAsia="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重度）</w:t>
      </w:r>
      <w:r>
        <w:rPr>
          <w:rFonts w:hint="default" w:ascii="宋体" w:hAnsi="宋体" w:eastAsia="宋体" w:cs="宋体"/>
          <w:color w:val="auto"/>
          <w:kern w:val="2"/>
          <w:sz w:val="21"/>
          <w:szCs w:val="21"/>
          <w:lang w:val="en-US" w:eastAsia="zh-CN" w:bidi="ar-SA"/>
        </w:rPr>
        <w:t xml:space="preserve"> </w:t>
      </w:r>
      <w:r>
        <w:rPr>
          <w:rFonts w:hint="eastAsia" w:ascii="宋体" w:hAnsi="宋体" w:eastAsia="宋体" w:cs="宋体"/>
          <w:color w:val="auto"/>
          <w:kern w:val="2"/>
          <w:sz w:val="21"/>
          <w:szCs w:val="21"/>
          <w:lang w:val="en-US" w:eastAsia="zh-CN" w:bidi="ar-SA"/>
        </w:rPr>
        <w:t>进行分层随机分组。</w:t>
      </w:r>
      <w:r>
        <w:rPr>
          <w:rFonts w:hint="default" w:ascii="宋体" w:hAnsi="宋体" w:eastAsia="宋体" w:cs="宋体"/>
          <w:color w:val="auto"/>
          <w:kern w:val="2"/>
          <w:sz w:val="21"/>
          <w:szCs w:val="21"/>
          <w:lang w:val="en-US" w:eastAsia="zh-CN" w:bidi="ar-SA"/>
        </w:rPr>
        <w:t>449</w:t>
      </w:r>
      <w:r>
        <w:rPr>
          <w:rFonts w:hint="eastAsia" w:ascii="宋体" w:hAnsi="宋体" w:eastAsia="宋体" w:cs="宋体"/>
          <w:color w:val="auto"/>
          <w:kern w:val="2"/>
          <w:sz w:val="21"/>
          <w:szCs w:val="21"/>
          <w:lang w:val="en-US" w:eastAsia="zh-CN" w:bidi="ar-SA"/>
        </w:rPr>
        <w:t>例食管上皮增生的患者随机分为两组：治疗组</w:t>
      </w:r>
      <w:r>
        <w:rPr>
          <w:rFonts w:hint="default" w:ascii="宋体" w:hAnsi="宋体" w:eastAsia="宋体" w:cs="宋体"/>
          <w:color w:val="auto"/>
          <w:kern w:val="2"/>
          <w:sz w:val="21"/>
          <w:szCs w:val="21"/>
          <w:lang w:val="en-US" w:eastAsia="zh-CN" w:bidi="ar-SA"/>
        </w:rPr>
        <w:t>300</w:t>
      </w:r>
      <w:r>
        <w:rPr>
          <w:rFonts w:hint="eastAsia" w:ascii="宋体" w:hAnsi="宋体" w:eastAsia="宋体" w:cs="宋体"/>
          <w:color w:val="auto"/>
          <w:kern w:val="2"/>
          <w:sz w:val="21"/>
          <w:szCs w:val="21"/>
          <w:lang w:val="en-US" w:eastAsia="zh-CN" w:bidi="ar-SA"/>
        </w:rPr>
        <w:t>例，口服增生平每次</w:t>
      </w:r>
      <w:r>
        <w:rPr>
          <w:rFonts w:hint="default" w:ascii="宋体" w:hAnsi="宋体" w:eastAsia="宋体"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片，每天</w:t>
      </w:r>
      <w:r>
        <w:rPr>
          <w:rFonts w:hint="default" w:ascii="宋体" w:hAnsi="宋体" w:eastAsia="宋体" w:cs="宋体"/>
          <w:color w:val="auto"/>
          <w:kern w:val="2"/>
          <w:sz w:val="21"/>
          <w:szCs w:val="21"/>
          <w:lang w:val="en-US" w:eastAsia="zh-CN" w:bidi="ar-SA"/>
        </w:rPr>
        <w:t>2</w:t>
      </w:r>
      <w:r>
        <w:rPr>
          <w:rFonts w:hint="eastAsia" w:ascii="宋体" w:hAnsi="宋体" w:eastAsia="宋体" w:cs="宋体"/>
          <w:color w:val="auto"/>
          <w:kern w:val="2"/>
          <w:sz w:val="21"/>
          <w:szCs w:val="21"/>
          <w:lang w:val="en-US" w:eastAsia="zh-CN" w:bidi="ar-SA"/>
        </w:rPr>
        <w:t>次，共服</w:t>
      </w:r>
      <w:r>
        <w:rPr>
          <w:rFonts w:hint="default" w:ascii="宋体" w:hAnsi="宋体" w:eastAsia="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个月；对照组</w:t>
      </w:r>
      <w:r>
        <w:rPr>
          <w:rFonts w:hint="default" w:ascii="宋体" w:hAnsi="宋体" w:eastAsia="宋体" w:cs="宋体"/>
          <w:color w:val="auto"/>
          <w:kern w:val="2"/>
          <w:sz w:val="21"/>
          <w:szCs w:val="21"/>
          <w:lang w:val="en-US" w:eastAsia="zh-CN" w:bidi="ar-SA"/>
        </w:rPr>
        <w:t>149</w:t>
      </w:r>
      <w:r>
        <w:rPr>
          <w:rFonts w:hint="eastAsia" w:ascii="宋体" w:hAnsi="宋体" w:eastAsia="宋体" w:cs="宋体"/>
          <w:color w:val="auto"/>
          <w:kern w:val="2"/>
          <w:sz w:val="21"/>
          <w:szCs w:val="21"/>
          <w:lang w:val="en-US" w:eastAsia="zh-CN" w:bidi="ar-SA"/>
        </w:rPr>
        <w:t>例，口服安慰剂每次</w:t>
      </w:r>
      <w:r>
        <w:rPr>
          <w:rFonts w:hint="default" w:ascii="宋体" w:hAnsi="宋体" w:eastAsia="宋体"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片，每天</w:t>
      </w:r>
      <w:r>
        <w:rPr>
          <w:rFonts w:hint="default" w:ascii="宋体" w:hAnsi="宋体" w:eastAsia="宋体" w:cs="宋体"/>
          <w:color w:val="auto"/>
          <w:kern w:val="2"/>
          <w:sz w:val="21"/>
          <w:szCs w:val="21"/>
          <w:lang w:val="en-US" w:eastAsia="zh-CN" w:bidi="ar-SA"/>
        </w:rPr>
        <w:t>2</w:t>
      </w:r>
      <w:r>
        <w:rPr>
          <w:rFonts w:hint="eastAsia" w:ascii="宋体" w:hAnsi="宋体" w:eastAsia="宋体" w:cs="宋体"/>
          <w:color w:val="auto"/>
          <w:kern w:val="2"/>
          <w:sz w:val="21"/>
          <w:szCs w:val="21"/>
          <w:lang w:val="en-US" w:eastAsia="zh-CN" w:bidi="ar-SA"/>
        </w:rPr>
        <w:t>次，共服</w:t>
      </w:r>
      <w:r>
        <w:rPr>
          <w:rFonts w:hint="default" w:ascii="宋体" w:hAnsi="宋体" w:eastAsia="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个月。为确保试验的准确性，两组药品中均加入适量核黄素作为指示剂，并定期测定患者的尿样本。结果</w:t>
      </w:r>
      <w:r>
        <w:rPr>
          <w:rFonts w:hint="default" w:ascii="宋体" w:hAnsi="宋体" w:eastAsia="宋体" w:cs="宋体"/>
          <w:color w:val="auto"/>
          <w:kern w:val="2"/>
          <w:sz w:val="21"/>
          <w:szCs w:val="21"/>
          <w:lang w:val="en-US" w:eastAsia="zh-CN" w:bidi="ar-SA"/>
        </w:rPr>
        <w:t>99%</w:t>
      </w:r>
      <w:r>
        <w:rPr>
          <w:rFonts w:hint="eastAsia" w:ascii="宋体" w:hAnsi="宋体" w:eastAsia="宋体" w:cs="宋体"/>
          <w:color w:val="auto"/>
          <w:kern w:val="2"/>
          <w:sz w:val="21"/>
          <w:szCs w:val="21"/>
          <w:lang w:val="en-US" w:eastAsia="zh-CN" w:bidi="ar-SA"/>
        </w:rPr>
        <w:t>的患者均定期服药，在治疗组可评价疗效的</w:t>
      </w:r>
      <w:r>
        <w:rPr>
          <w:rFonts w:hint="default" w:ascii="宋体" w:hAnsi="宋体" w:eastAsia="宋体" w:cs="宋体"/>
          <w:color w:val="auto"/>
          <w:kern w:val="2"/>
          <w:sz w:val="21"/>
          <w:szCs w:val="21"/>
          <w:lang w:val="en-US" w:eastAsia="zh-CN" w:bidi="ar-SA"/>
        </w:rPr>
        <w:t>300</w:t>
      </w:r>
      <w:r>
        <w:rPr>
          <w:rFonts w:hint="eastAsia" w:ascii="宋体" w:hAnsi="宋体" w:eastAsia="宋体" w:cs="宋体"/>
          <w:color w:val="auto"/>
          <w:kern w:val="2"/>
          <w:sz w:val="21"/>
          <w:szCs w:val="21"/>
          <w:lang w:val="en-US" w:eastAsia="zh-CN" w:bidi="ar-SA"/>
        </w:rPr>
        <w:t>例患者中，好转者</w:t>
      </w:r>
      <w:r>
        <w:rPr>
          <w:rFonts w:hint="default" w:ascii="宋体" w:hAnsi="宋体" w:eastAsia="宋体" w:cs="宋体"/>
          <w:color w:val="auto"/>
          <w:kern w:val="2"/>
          <w:sz w:val="21"/>
          <w:szCs w:val="21"/>
          <w:lang w:val="en-US" w:eastAsia="zh-CN" w:bidi="ar-SA"/>
        </w:rPr>
        <w:t>193</w:t>
      </w:r>
      <w:r>
        <w:rPr>
          <w:rFonts w:hint="eastAsia" w:ascii="宋体" w:hAnsi="宋体" w:eastAsia="宋体" w:cs="宋体"/>
          <w:color w:val="auto"/>
          <w:kern w:val="2"/>
          <w:sz w:val="21"/>
          <w:szCs w:val="21"/>
          <w:lang w:val="en-US" w:eastAsia="zh-CN" w:bidi="ar-SA"/>
        </w:rPr>
        <w:t>例（</w:t>
      </w:r>
      <w:r>
        <w:rPr>
          <w:rFonts w:hint="default" w:ascii="宋体" w:hAnsi="宋体" w:eastAsia="宋体" w:cs="宋体"/>
          <w:color w:val="auto"/>
          <w:kern w:val="2"/>
          <w:sz w:val="21"/>
          <w:szCs w:val="21"/>
          <w:lang w:val="en-US" w:eastAsia="zh-CN" w:bidi="ar-SA"/>
        </w:rPr>
        <w:t>64.3%</w:t>
      </w:r>
      <w:r>
        <w:rPr>
          <w:rFonts w:hint="eastAsia" w:ascii="宋体" w:hAnsi="宋体" w:eastAsia="宋体" w:cs="宋体"/>
          <w:color w:val="auto"/>
          <w:kern w:val="2"/>
          <w:sz w:val="21"/>
          <w:szCs w:val="21"/>
          <w:lang w:val="en-US" w:eastAsia="zh-CN" w:bidi="ar-SA"/>
        </w:rPr>
        <w:t>）；而对照组</w:t>
      </w:r>
      <w:r>
        <w:rPr>
          <w:rFonts w:hint="default" w:ascii="宋体" w:hAnsi="宋体" w:eastAsia="宋体" w:cs="宋体"/>
          <w:color w:val="auto"/>
          <w:kern w:val="2"/>
          <w:sz w:val="21"/>
          <w:szCs w:val="21"/>
          <w:lang w:val="en-US" w:eastAsia="zh-CN" w:bidi="ar-SA"/>
        </w:rPr>
        <w:t>149</w:t>
      </w:r>
      <w:r>
        <w:rPr>
          <w:rFonts w:hint="eastAsia" w:ascii="宋体" w:hAnsi="宋体" w:eastAsia="宋体" w:cs="宋体"/>
          <w:color w:val="auto"/>
          <w:kern w:val="2"/>
          <w:sz w:val="21"/>
          <w:szCs w:val="21"/>
          <w:lang w:val="en-US" w:eastAsia="zh-CN" w:bidi="ar-SA"/>
        </w:rPr>
        <w:t>例中，好转者仅为</w:t>
      </w:r>
      <w:r>
        <w:rPr>
          <w:rFonts w:hint="default" w:ascii="宋体" w:hAnsi="宋体" w:eastAsia="宋体" w:cs="宋体"/>
          <w:color w:val="auto"/>
          <w:kern w:val="2"/>
          <w:sz w:val="21"/>
          <w:szCs w:val="21"/>
          <w:lang w:val="en-US" w:eastAsia="zh-CN" w:bidi="ar-SA"/>
        </w:rPr>
        <w:t>34</w:t>
      </w:r>
      <w:r>
        <w:rPr>
          <w:rFonts w:hint="eastAsia" w:ascii="宋体" w:hAnsi="宋体" w:eastAsia="宋体" w:cs="宋体"/>
          <w:color w:val="auto"/>
          <w:kern w:val="2"/>
          <w:sz w:val="21"/>
          <w:szCs w:val="21"/>
          <w:lang w:val="en-US" w:eastAsia="zh-CN" w:bidi="ar-SA"/>
        </w:rPr>
        <w:t>例（</w:t>
      </w:r>
      <w:r>
        <w:rPr>
          <w:rFonts w:hint="default" w:ascii="宋体" w:hAnsi="宋体" w:eastAsia="宋体" w:cs="宋体"/>
          <w:color w:val="auto"/>
          <w:kern w:val="2"/>
          <w:sz w:val="21"/>
          <w:szCs w:val="21"/>
          <w:lang w:val="en-US" w:eastAsia="zh-CN" w:bidi="ar-SA"/>
        </w:rPr>
        <w:t>22.8%</w:t>
      </w:r>
      <w:r>
        <w:rPr>
          <w:rFonts w:hint="eastAsia" w:ascii="宋体" w:hAnsi="宋体" w:eastAsia="宋体" w:cs="宋体"/>
          <w:color w:val="auto"/>
          <w:kern w:val="2"/>
          <w:sz w:val="21"/>
          <w:szCs w:val="21"/>
          <w:lang w:val="en-US" w:eastAsia="zh-CN" w:bidi="ar-SA"/>
        </w:rPr>
        <w:t>），两组差异有极显著性（</w:t>
      </w:r>
      <w:r>
        <w:rPr>
          <w:rFonts w:hint="default" w:ascii="Times New Roman" w:hAnsi="Times New Roman" w:eastAsia="宋体" w:cs="Times New Roman"/>
          <w:i/>
          <w:iCs/>
          <w:color w:val="auto"/>
          <w:kern w:val="2"/>
          <w:sz w:val="21"/>
          <w:szCs w:val="21"/>
          <w:lang w:val="en-US" w:eastAsia="zh-CN" w:bidi="ar-SA"/>
        </w:rPr>
        <w:t>P</w:t>
      </w:r>
      <w:r>
        <w:rPr>
          <w:rFonts w:hint="eastAsia" w:ascii="宋体" w:hAnsi="宋体" w:eastAsia="宋体" w:cs="宋体"/>
          <w:i w:val="0"/>
          <w:iCs w:val="0"/>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0.001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治疗组中病变加重者</w:t>
      </w:r>
      <w:r>
        <w:rPr>
          <w:rFonts w:hint="default" w:ascii="宋体" w:hAnsi="宋体" w:eastAsia="宋体" w:cs="宋体"/>
          <w:color w:val="auto"/>
          <w:kern w:val="2"/>
          <w:sz w:val="21"/>
          <w:szCs w:val="21"/>
          <w:lang w:val="en-US" w:eastAsia="zh-CN" w:bidi="ar-SA"/>
        </w:rPr>
        <w:t>10</w:t>
      </w:r>
      <w:r>
        <w:rPr>
          <w:rFonts w:hint="eastAsia" w:ascii="宋体" w:hAnsi="宋体" w:eastAsia="宋体" w:cs="宋体"/>
          <w:color w:val="auto"/>
          <w:kern w:val="2"/>
          <w:sz w:val="21"/>
          <w:szCs w:val="21"/>
          <w:lang w:val="en-US" w:eastAsia="zh-CN" w:bidi="ar-SA"/>
        </w:rPr>
        <w:t>例（</w:t>
      </w:r>
      <w:r>
        <w:rPr>
          <w:rFonts w:hint="default" w:ascii="宋体" w:hAnsi="宋体" w:eastAsia="宋体" w:cs="宋体"/>
          <w:color w:val="auto"/>
          <w:kern w:val="2"/>
          <w:sz w:val="21"/>
          <w:szCs w:val="21"/>
          <w:lang w:val="en-US" w:eastAsia="zh-CN" w:bidi="ar-SA"/>
        </w:rPr>
        <w:t>3.3%</w:t>
      </w:r>
      <w:r>
        <w:rPr>
          <w:rFonts w:hint="eastAsia" w:ascii="宋体" w:hAnsi="宋体" w:eastAsia="宋体" w:cs="宋体"/>
          <w:color w:val="auto"/>
          <w:kern w:val="2"/>
          <w:sz w:val="21"/>
          <w:szCs w:val="21"/>
          <w:lang w:val="en-US" w:eastAsia="zh-CN" w:bidi="ar-SA"/>
        </w:rPr>
        <w:t>），对照组</w:t>
      </w:r>
      <w:r>
        <w:rPr>
          <w:rFonts w:hint="default" w:ascii="宋体" w:hAnsi="宋体" w:eastAsia="宋体" w:cs="宋体"/>
          <w:color w:val="auto"/>
          <w:kern w:val="2"/>
          <w:sz w:val="21"/>
          <w:szCs w:val="21"/>
          <w:lang w:val="en-US" w:eastAsia="zh-CN" w:bidi="ar-SA"/>
        </w:rPr>
        <w:t>37</w:t>
      </w:r>
      <w:r>
        <w:rPr>
          <w:rFonts w:hint="eastAsia" w:ascii="宋体" w:hAnsi="宋体" w:eastAsia="宋体" w:cs="宋体"/>
          <w:color w:val="auto"/>
          <w:kern w:val="2"/>
          <w:sz w:val="21"/>
          <w:szCs w:val="21"/>
          <w:lang w:val="en-US" w:eastAsia="zh-CN" w:bidi="ar-SA"/>
        </w:rPr>
        <w:t>例（</w:t>
      </w:r>
      <w:r>
        <w:rPr>
          <w:rFonts w:hint="default" w:ascii="宋体" w:hAnsi="宋体" w:eastAsia="宋体" w:cs="宋体"/>
          <w:color w:val="auto"/>
          <w:kern w:val="2"/>
          <w:sz w:val="21"/>
          <w:szCs w:val="21"/>
          <w:lang w:val="en-US" w:eastAsia="zh-CN" w:bidi="ar-SA"/>
        </w:rPr>
        <w:t>24.8%</w:t>
      </w:r>
      <w:r>
        <w:rPr>
          <w:rFonts w:hint="eastAsia" w:ascii="宋体" w:hAnsi="宋体" w:eastAsia="宋体" w:cs="宋体"/>
          <w:color w:val="auto"/>
          <w:kern w:val="2"/>
          <w:sz w:val="21"/>
          <w:szCs w:val="21"/>
          <w:lang w:val="en-US" w:eastAsia="zh-CN" w:bidi="ar-SA"/>
        </w:rPr>
        <w:t>），差异有极显著性（</w:t>
      </w:r>
      <w:r>
        <w:rPr>
          <w:rFonts w:hint="default" w:ascii="Times New Roman" w:hAnsi="Times New Roman" w:eastAsia="宋体" w:cs="Times New Roman"/>
          <w:i/>
          <w:iCs/>
          <w:color w:val="auto"/>
          <w:kern w:val="2"/>
          <w:sz w:val="21"/>
          <w:szCs w:val="21"/>
          <w:lang w:val="en-US" w:eastAsia="zh-CN" w:bidi="ar-SA"/>
        </w:rPr>
        <w:t>P</w:t>
      </w:r>
      <w:r>
        <w:rPr>
          <w:rFonts w:hint="eastAsia" w:ascii="宋体" w:hAnsi="宋体" w:eastAsia="宋体" w:cs="宋体"/>
          <w:i w:val="0"/>
          <w:iCs w:val="0"/>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0.001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w:t>
      </w:r>
      <w:r>
        <w:rPr>
          <w:rFonts w:hint="eastAsia" w:ascii="宋体" w:hAnsi="宋体" w:eastAsia="宋体" w:cs="宋体"/>
          <w:color w:val="auto"/>
          <w:kern w:val="2"/>
          <w:sz w:val="21"/>
          <w:szCs w:val="21"/>
          <w:lang w:val="en-US" w:eastAsia="zh-CN" w:bidi="ar-SA"/>
        </w:rPr>
        <w:t>研究结果显示增生平是治疗食管上皮增生的有效药物</w:t>
      </w:r>
      <w:r>
        <w:rPr>
          <w:rFonts w:hint="default" w:ascii="宋体" w:hAnsi="宋体" w:eastAsia="宋体" w:cs="宋体"/>
          <w:color w:val="auto"/>
          <w:kern w:val="2"/>
          <w:sz w:val="21"/>
          <w:szCs w:val="21"/>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一项采用中药增生平阻断食管上皮重度增生的研究</w:t>
      </w:r>
      <w:r>
        <w:rPr>
          <w:rFonts w:hint="eastAsia" w:ascii="宋体" w:hAnsi="宋体" w:eastAsia="宋体" w:cs="宋体"/>
          <w:color w:val="auto"/>
          <w:kern w:val="2"/>
          <w:sz w:val="21"/>
          <w:szCs w:val="21"/>
          <w:vertAlign w:val="superscript"/>
          <w:lang w:val="en-US" w:eastAsia="zh-CN" w:bidi="ar-SA"/>
        </w:rPr>
        <w:t>[111]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选择了食管癌高发区河北省磁县9个乡作为增生平阻断食管癌前病变的试验基地</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开展对40～69岁人群食管脱落细胞学筛查。根据食管脱落细胞学诊断标准，食管上皮细胞重度增生分为：重度增生1级和2级。 按照课题设计要求将9个乡分别划为干预组和对照组。1631例干预人群服用增生平</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2288例对照人群服用安慰剂。服药时间1994年5月至1997年7月</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2008年10月对3919例重增人群开展随访。实际随访3527例，失访392例，随访率91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0％。结果</w:t>
      </w:r>
      <w:r>
        <w:rPr>
          <w:rFonts w:hint="eastAsia" w:ascii="宋体" w:hAnsi="宋体" w:eastAsia="宋体" w:cs="宋体"/>
          <w:color w:val="auto"/>
          <w:kern w:val="2"/>
          <w:sz w:val="21"/>
          <w:szCs w:val="21"/>
          <w:lang w:val="en-US" w:eastAsia="zh-CN" w:bidi="ar-SA"/>
        </w:rPr>
        <w:t>显示</w:t>
      </w:r>
      <w:r>
        <w:rPr>
          <w:rFonts w:hint="default" w:ascii="宋体" w:hAnsi="宋体" w:eastAsia="宋体" w:cs="宋体"/>
          <w:color w:val="auto"/>
          <w:kern w:val="2"/>
          <w:sz w:val="21"/>
          <w:szCs w:val="21"/>
          <w:lang w:val="en-US" w:eastAsia="zh-CN" w:bidi="ar-SA"/>
        </w:rPr>
        <w:t>男性重度增生1级干预人群与对照人群比较，食管癌和贲门癌变的危险度</w:t>
      </w:r>
      <w:r>
        <w:rPr>
          <w:rFonts w:hint="default" w:ascii="Times New Roman" w:hAnsi="Times New Roman" w:eastAsia="宋体" w:cs="Times New Roman"/>
          <w:color w:val="auto"/>
          <w:kern w:val="2"/>
          <w:sz w:val="21"/>
          <w:szCs w:val="21"/>
          <w:lang w:val="en-US" w:eastAsia="zh-CN" w:bidi="ar-SA"/>
        </w:rPr>
        <w:t>OR</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69，95％</w:t>
      </w:r>
      <w:r>
        <w:rPr>
          <w:rFonts w:hint="default" w:ascii="Times New Roman" w:hAnsi="Times New Roman" w:eastAsia="宋体" w:cs="Times New Roman"/>
          <w:color w:val="auto"/>
          <w:kern w:val="2"/>
          <w:sz w:val="21"/>
          <w:szCs w:val="21"/>
          <w:lang w:val="en-US" w:eastAsia="zh-CN" w:bidi="ar-SA"/>
        </w:rPr>
        <w:t>CI</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50～0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94），</w:t>
      </w:r>
      <w:r>
        <w:rPr>
          <w:rFonts w:hint="default" w:ascii="Times New Roman" w:hAnsi="Times New Roman" w:eastAsia="宋体" w:cs="Times New Roman"/>
          <w:i/>
          <w:iCs/>
          <w:color w:val="auto"/>
          <w:kern w:val="2"/>
          <w:sz w:val="21"/>
          <w:szCs w:val="21"/>
          <w:lang w:val="en-US" w:eastAsia="zh-CN" w:bidi="ar-SA"/>
        </w:rPr>
        <w:t>P</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019；女性</w:t>
      </w:r>
      <w:r>
        <w:rPr>
          <w:rFonts w:hint="default" w:ascii="Times New Roman" w:hAnsi="Times New Roman" w:eastAsia="宋体" w:cs="Times New Roman"/>
          <w:color w:val="auto"/>
          <w:kern w:val="2"/>
          <w:sz w:val="21"/>
          <w:szCs w:val="21"/>
          <w:lang w:val="en-US" w:eastAsia="zh-CN" w:bidi="ar-SA"/>
        </w:rPr>
        <w:t>OR</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62，95％</w:t>
      </w:r>
      <w:r>
        <w:rPr>
          <w:rFonts w:hint="default" w:ascii="Times New Roman" w:hAnsi="Times New Roman" w:eastAsia="宋体" w:cs="Times New Roman"/>
          <w:color w:val="auto"/>
          <w:kern w:val="2"/>
          <w:sz w:val="21"/>
          <w:szCs w:val="21"/>
          <w:lang w:val="en-US" w:eastAsia="zh-CN" w:bidi="ar-SA"/>
        </w:rPr>
        <w:t>CI</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41～0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94</w:t>
      </w:r>
      <w:r>
        <w:rPr>
          <w:rFonts w:hint="eastAsia" w:ascii="宋体" w:hAnsi="宋体" w:eastAsia="宋体" w:cs="宋体"/>
          <w:color w:val="auto"/>
          <w:kern w:val="2"/>
          <w:sz w:val="21"/>
          <w:szCs w:val="21"/>
          <w:lang w:val="en-US" w:eastAsia="zh-CN" w:bidi="ar-SA"/>
        </w:rPr>
        <w:t>），</w:t>
      </w:r>
      <w:r>
        <w:rPr>
          <w:rFonts w:hint="default" w:ascii="Times New Roman" w:hAnsi="Times New Roman" w:eastAsia="宋体" w:cs="Times New Roman"/>
          <w:i/>
          <w:iCs/>
          <w:color w:val="auto"/>
          <w:kern w:val="2"/>
          <w:sz w:val="21"/>
          <w:szCs w:val="21"/>
          <w:lang w:val="en-US" w:eastAsia="zh-CN" w:bidi="ar-SA"/>
        </w:rPr>
        <w:t>P</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024；重度增生2级男性</w:t>
      </w:r>
      <w:r>
        <w:rPr>
          <w:rFonts w:hint="default" w:ascii="Times New Roman" w:hAnsi="Times New Roman" w:eastAsia="宋体" w:cs="Times New Roman"/>
          <w:color w:val="auto"/>
          <w:kern w:val="2"/>
          <w:sz w:val="21"/>
          <w:szCs w:val="21"/>
          <w:lang w:val="en-US" w:eastAsia="zh-CN" w:bidi="ar-SA"/>
        </w:rPr>
        <w:t>OR</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86， 95％</w:t>
      </w:r>
      <w:r>
        <w:rPr>
          <w:rFonts w:hint="default" w:ascii="Times New Roman" w:hAnsi="Times New Roman" w:eastAsia="宋体" w:cs="Times New Roman"/>
          <w:color w:val="auto"/>
          <w:kern w:val="2"/>
          <w:sz w:val="21"/>
          <w:szCs w:val="21"/>
          <w:lang w:val="en-US" w:eastAsia="zh-CN" w:bidi="ar-SA"/>
        </w:rPr>
        <w:t>CI</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53～1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41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w:t>
      </w:r>
      <w:r>
        <w:rPr>
          <w:rFonts w:hint="default" w:ascii="Times New Roman" w:hAnsi="Times New Roman" w:eastAsia="宋体" w:cs="Times New Roman"/>
          <w:i/>
          <w:iCs/>
          <w:color w:val="auto"/>
          <w:kern w:val="2"/>
          <w:sz w:val="21"/>
          <w:szCs w:val="21"/>
          <w:lang w:val="en-US" w:eastAsia="zh-CN" w:bidi="ar-SA"/>
        </w:rPr>
        <w:t>P</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559，女性</w:t>
      </w:r>
      <w:r>
        <w:rPr>
          <w:rFonts w:hint="default" w:ascii="Times New Roman" w:hAnsi="Times New Roman" w:eastAsia="宋体" w:cs="Times New Roman"/>
          <w:color w:val="auto"/>
          <w:kern w:val="2"/>
          <w:sz w:val="21"/>
          <w:szCs w:val="21"/>
          <w:lang w:val="en-US" w:eastAsia="zh-CN" w:bidi="ar-SA"/>
        </w:rPr>
        <w:t>OR</w:t>
      </w:r>
      <w:r>
        <w:rPr>
          <w:rFonts w:hint="default" w:ascii="宋体" w:hAnsi="宋体" w:eastAsia="宋体" w:cs="宋体"/>
          <w:color w:val="auto"/>
          <w:kern w:val="2"/>
          <w:sz w:val="21"/>
          <w:szCs w:val="21"/>
          <w:lang w:val="en-US" w:eastAsia="zh-CN" w:bidi="ar-SA"/>
        </w:rPr>
        <w:t>＝1</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14</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95％</w:t>
      </w:r>
      <w:r>
        <w:rPr>
          <w:rFonts w:hint="default" w:ascii="Times New Roman" w:hAnsi="Times New Roman" w:eastAsia="宋体" w:cs="Times New Roman"/>
          <w:color w:val="auto"/>
          <w:kern w:val="2"/>
          <w:sz w:val="21"/>
          <w:szCs w:val="21"/>
          <w:lang w:val="en-US" w:eastAsia="zh-CN" w:bidi="ar-SA"/>
        </w:rPr>
        <w:t>CI</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74～2</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29）</w:t>
      </w:r>
      <w:r>
        <w:rPr>
          <w:rFonts w:hint="eastAsia" w:ascii="宋体" w:hAnsi="宋体" w:eastAsia="宋体" w:cs="宋体"/>
          <w:color w:val="auto"/>
          <w:kern w:val="2"/>
          <w:sz w:val="21"/>
          <w:szCs w:val="21"/>
          <w:lang w:val="en-US" w:eastAsia="zh-CN" w:bidi="ar-SA"/>
        </w:rPr>
        <w:t>，</w:t>
      </w:r>
      <w:r>
        <w:rPr>
          <w:rFonts w:hint="default" w:ascii="Times New Roman" w:hAnsi="Times New Roman" w:eastAsia="宋体" w:cs="Times New Roman"/>
          <w:i/>
          <w:iCs/>
          <w:color w:val="auto"/>
          <w:kern w:val="2"/>
          <w:sz w:val="21"/>
          <w:szCs w:val="21"/>
          <w:lang w:val="en-US" w:eastAsia="zh-CN" w:bidi="ar-SA"/>
        </w:rPr>
        <w:t>P</w:t>
      </w:r>
      <w:r>
        <w:rPr>
          <w:rFonts w:hint="default" w:ascii="宋体" w:hAnsi="宋体" w:eastAsia="宋体" w:cs="宋体"/>
          <w:color w:val="auto"/>
          <w:kern w:val="2"/>
          <w:sz w:val="21"/>
          <w:szCs w:val="21"/>
          <w:lang w:val="en-US" w:eastAsia="zh-CN" w:bidi="ar-SA"/>
        </w:rPr>
        <w:t>＝0</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352</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增生平阻断治疗后，可降低重度增生1级人群食管癌和贲门癌的癌变的危险度。</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[112]</w:t>
      </w:r>
      <w:r>
        <w:rPr>
          <w:rFonts w:hint="eastAsia" w:ascii="宋体" w:hAnsi="宋体" w:eastAsia="宋体" w:cs="宋体"/>
          <w:color w:val="auto"/>
          <w:kern w:val="2"/>
          <w:sz w:val="21"/>
          <w:szCs w:val="21"/>
          <w:lang w:val="en-US" w:eastAsia="zh-CN" w:bidi="ar-SA"/>
        </w:rPr>
        <w:t>报告食管上皮重度增生患者服用六味地黄丸，与对照组相比两年后癌变率分别为1.9%和8.3%，差异显著，且癌变者都发生在阴虚组中。说明六味地黄九防止食管上皮重度增生癌变疗效显著，阴虚型的食管上皮重度增生患者癌变的危险性大。</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黑体" w:hAnsi="黑体" w:eastAsia="黑体" w:cs="Times New Roman"/>
          <w:color w:val="auto"/>
          <w:kern w:val="0"/>
          <w:szCs w:val="21"/>
        </w:rPr>
      </w:pPr>
      <w:r>
        <w:rPr>
          <w:rFonts w:hint="eastAsia" w:ascii="宋体" w:hAnsi="宋体" w:eastAsia="宋体" w:cs="宋体"/>
          <w:color w:val="auto"/>
          <w:kern w:val="2"/>
          <w:sz w:val="21"/>
          <w:szCs w:val="21"/>
          <w:lang w:val="en-US" w:eastAsia="zh-CN" w:bidi="ar-SA"/>
        </w:rPr>
        <w:t>一项研究</w:t>
      </w:r>
      <w:r>
        <w:rPr>
          <w:rFonts w:hint="eastAsia" w:ascii="宋体" w:hAnsi="宋体" w:eastAsia="宋体" w:cs="宋体"/>
          <w:color w:val="auto"/>
          <w:kern w:val="2"/>
          <w:sz w:val="21"/>
          <w:szCs w:val="21"/>
          <w:vertAlign w:val="superscript"/>
          <w:lang w:val="en-US" w:eastAsia="zh-CN" w:bidi="ar-SA"/>
        </w:rPr>
        <w:t>[113]</w:t>
      </w:r>
      <w:r>
        <w:rPr>
          <w:rFonts w:hint="default" w:ascii="宋体" w:hAnsi="宋体" w:eastAsia="宋体" w:cs="宋体"/>
          <w:color w:val="auto"/>
          <w:kern w:val="2"/>
          <w:sz w:val="21"/>
          <w:szCs w:val="21"/>
          <w:lang w:val="en-US" w:eastAsia="zh-CN" w:bidi="ar-SA"/>
        </w:rPr>
        <w:t>评价芪莲舒痞颗粒对食管鳞状上皮轻度和中度不典型增生的治疗作用，选择明确诊断的食管鳞状上皮不典型增生者100例，随机分成两组，</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治疗组</w:t>
      </w:r>
      <w:r>
        <w:rPr>
          <w:rFonts w:hint="eastAsia" w:ascii="宋体" w:hAnsi="宋体" w:eastAsia="宋体" w:cs="宋体"/>
          <w:color w:val="auto"/>
          <w:kern w:val="2"/>
          <w:sz w:val="21"/>
          <w:szCs w:val="21"/>
          <w:lang w:val="en-US" w:eastAsia="zh-CN" w:bidi="ar-SA"/>
        </w:rPr>
        <w:t>）</w:t>
      </w:r>
      <w:r>
        <w:rPr>
          <w:rFonts w:hint="default" w:ascii="宋体" w:hAnsi="宋体" w:eastAsia="宋体" w:cs="宋体"/>
          <w:color w:val="auto"/>
          <w:kern w:val="2"/>
          <w:sz w:val="21"/>
          <w:szCs w:val="21"/>
          <w:lang w:val="en-US" w:eastAsia="zh-CN" w:bidi="ar-SA"/>
        </w:rPr>
        <w:t>口服芪莲舒痞颗粒，每次2袋，</w:t>
      </w:r>
      <w:r>
        <w:rPr>
          <w:rFonts w:hint="eastAsia" w:ascii="宋体" w:hAnsi="宋体" w:eastAsia="宋体" w:cs="宋体"/>
          <w:color w:val="auto"/>
          <w:kern w:val="2"/>
          <w:sz w:val="21"/>
          <w:szCs w:val="21"/>
          <w:lang w:val="en-US" w:eastAsia="zh-CN" w:bidi="ar-SA"/>
        </w:rPr>
        <w:t>每</w:t>
      </w:r>
      <w:r>
        <w:rPr>
          <w:rFonts w:hint="default" w:ascii="宋体" w:hAnsi="宋体" w:eastAsia="宋体" w:cs="宋体"/>
          <w:color w:val="auto"/>
          <w:kern w:val="2"/>
          <w:sz w:val="21"/>
          <w:szCs w:val="21"/>
          <w:lang w:val="en-US" w:eastAsia="zh-CN" w:bidi="ar-SA"/>
        </w:rPr>
        <w:t>日3次冲服，对照组口服胃复春片，每次4片，</w:t>
      </w:r>
      <w:r>
        <w:rPr>
          <w:rFonts w:hint="eastAsia" w:ascii="宋体" w:hAnsi="宋体" w:eastAsia="宋体" w:cs="宋体"/>
          <w:color w:val="auto"/>
          <w:kern w:val="2"/>
          <w:sz w:val="21"/>
          <w:szCs w:val="21"/>
          <w:lang w:val="en-US" w:eastAsia="zh-CN" w:bidi="ar-SA"/>
        </w:rPr>
        <w:t>每</w:t>
      </w:r>
      <w:r>
        <w:rPr>
          <w:rFonts w:hint="default" w:ascii="宋体" w:hAnsi="宋体" w:eastAsia="宋体" w:cs="宋体"/>
          <w:color w:val="auto"/>
          <w:kern w:val="2"/>
          <w:sz w:val="21"/>
          <w:szCs w:val="21"/>
          <w:lang w:val="en-US" w:eastAsia="zh-CN" w:bidi="ar-SA"/>
        </w:rPr>
        <w:t>日3次，疗程均为6个月。</w:t>
      </w:r>
      <w:r>
        <w:rPr>
          <w:rFonts w:hint="eastAsia" w:ascii="宋体" w:hAnsi="宋体" w:eastAsia="宋体" w:cs="宋体"/>
          <w:color w:val="auto"/>
          <w:kern w:val="2"/>
          <w:sz w:val="21"/>
          <w:szCs w:val="21"/>
          <w:lang w:val="en-US" w:eastAsia="zh-CN" w:bidi="ar-SA"/>
        </w:rPr>
        <w:t>结果显示</w:t>
      </w:r>
      <w:r>
        <w:rPr>
          <w:rFonts w:hint="default" w:ascii="宋体" w:hAnsi="宋体" w:eastAsia="宋体" w:cs="宋体"/>
          <w:color w:val="auto"/>
          <w:kern w:val="2"/>
          <w:sz w:val="21"/>
          <w:szCs w:val="21"/>
          <w:lang w:val="en-US" w:eastAsia="zh-CN" w:bidi="ar-SA"/>
        </w:rPr>
        <w:t>芪莲舒痞颗粒对食管鳞状上皮轻度和中度不典型增生有明显的逆转作用。</w:t>
      </w: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pStyle w:val="2"/>
        <w:rPr>
          <w:rFonts w:hint="eastAsia" w:ascii="黑体" w:hAnsi="黑体" w:eastAsia="黑体" w:cs="Times New Roman"/>
          <w:color w:val="auto"/>
          <w:kern w:val="0"/>
          <w:szCs w:val="21"/>
        </w:rPr>
      </w:pPr>
    </w:p>
    <w:p>
      <w:pPr>
        <w:keepLines w:val="0"/>
        <w:pageBreakBefore w:val="0"/>
        <w:tabs>
          <w:tab w:val="center" w:pos="4215"/>
          <w:tab w:val="left" w:pos="6217"/>
        </w:tabs>
        <w:kinsoku/>
        <w:wordWrap/>
        <w:overflowPunct/>
        <w:topLinePunct w:val="0"/>
        <w:autoSpaceDE/>
        <w:autoSpaceDN/>
        <w:bidi w:val="0"/>
        <w:adjustRightInd/>
        <w:snapToGrid/>
        <w:spacing w:line="360" w:lineRule="exact"/>
        <w:jc w:val="left"/>
        <w:textAlignment w:val="auto"/>
        <w:rPr>
          <w:rFonts w:hint="eastAsia" w:ascii="黑体" w:hAnsi="黑体" w:eastAsia="黑体" w:cs="Times New Roman"/>
          <w:color w:val="auto"/>
          <w:kern w:val="0"/>
          <w:szCs w:val="21"/>
          <w:lang w:eastAsia="zh-CN"/>
        </w:rPr>
      </w:pPr>
      <w:r>
        <w:rPr>
          <w:rFonts w:hint="eastAsia" w:ascii="黑体" w:hAnsi="黑体" w:eastAsia="黑体" w:cs="Times New Roman"/>
          <w:color w:val="auto"/>
          <w:kern w:val="0"/>
          <w:szCs w:val="21"/>
          <w:lang w:eastAsia="zh-CN"/>
        </w:rPr>
        <w:tab/>
      </w:r>
      <w:r>
        <w:rPr>
          <w:rFonts w:hint="eastAsia" w:ascii="黑体" w:hAnsi="黑体" w:eastAsia="黑体" w:cs="Times New Roman"/>
          <w:color w:val="auto"/>
          <w:kern w:val="0"/>
          <w:szCs w:val="21"/>
        </w:rPr>
        <w:t>附录A</w:t>
      </w:r>
      <w:r>
        <w:rPr>
          <w:rFonts w:hint="eastAsia" w:ascii="黑体" w:hAnsi="黑体" w:eastAsia="黑体" w:cs="Times New Roman"/>
          <w:color w:val="auto"/>
          <w:kern w:val="0"/>
          <w:szCs w:val="21"/>
          <w:lang w:eastAsia="zh-CN"/>
        </w:rPr>
        <w:tab/>
      </w:r>
    </w:p>
    <w:p>
      <w:pPr>
        <w:keepLines w:val="0"/>
        <w:pageBreakBefore w:val="0"/>
        <w:kinsoku/>
        <w:wordWrap/>
        <w:overflowPunct/>
        <w:topLinePunct w:val="0"/>
        <w:autoSpaceDE/>
        <w:autoSpaceDN/>
        <w:bidi w:val="0"/>
        <w:adjustRightInd/>
        <w:snapToGrid/>
        <w:spacing w:line="360" w:lineRule="exact"/>
        <w:jc w:val="center"/>
        <w:textAlignment w:val="auto"/>
        <w:rPr>
          <w:rFonts w:ascii="黑体" w:hAnsi="黑体" w:eastAsia="黑体" w:cs="Times New Roman"/>
          <w:color w:val="auto"/>
          <w:kern w:val="0"/>
          <w:szCs w:val="21"/>
        </w:rPr>
      </w:pPr>
      <w:r>
        <w:rPr>
          <w:rFonts w:hint="eastAsia" w:ascii="黑体" w:hAnsi="黑体" w:eastAsia="黑体" w:cs="Times New Roman"/>
          <w:color w:val="auto"/>
          <w:kern w:val="0"/>
          <w:szCs w:val="21"/>
        </w:rPr>
        <w:t>（资料性</w:t>
      </w:r>
      <w:r>
        <w:rPr>
          <w:rFonts w:hint="eastAsia" w:ascii="黑体" w:hAnsi="黑体" w:eastAsia="黑体" w:cs="Times New Roman"/>
          <w:color w:val="auto"/>
          <w:kern w:val="0"/>
          <w:szCs w:val="21"/>
          <w:lang w:val="en-US" w:eastAsia="zh-CN"/>
        </w:rPr>
        <w:t>附录</w:t>
      </w:r>
      <w:r>
        <w:rPr>
          <w:rFonts w:hint="eastAsia" w:ascii="黑体" w:hAnsi="黑体" w:eastAsia="黑体" w:cs="Times New Roman"/>
          <w:color w:val="auto"/>
          <w:kern w:val="0"/>
          <w:szCs w:val="21"/>
        </w:rPr>
        <w:t>）</w:t>
      </w:r>
    </w:p>
    <w:p>
      <w:pPr>
        <w:pStyle w:val="41"/>
        <w:keepLines w:val="0"/>
        <w:pageBreakBefore w:val="0"/>
        <w:numPr>
          <w:ilvl w:val="0"/>
          <w:numId w:val="0"/>
        </w:numPr>
        <w:kinsoku/>
        <w:wordWrap/>
        <w:overflowPunct/>
        <w:topLinePunct w:val="0"/>
        <w:autoSpaceDE/>
        <w:autoSpaceDN/>
        <w:bidi w:val="0"/>
        <w:adjustRightInd/>
        <w:snapToGrid/>
        <w:spacing w:before="0" w:after="0" w:line="360" w:lineRule="exact"/>
        <w:jc w:val="center"/>
        <w:textAlignment w:val="auto"/>
        <w:rPr>
          <w:rFonts w:hint="eastAsia" w:ascii="宋体" w:hAnsi="宋体"/>
          <w:color w:val="auto"/>
          <w:szCs w:val="21"/>
        </w:rPr>
      </w:pPr>
      <w:r>
        <w:rPr>
          <w:rFonts w:hint="eastAsia"/>
          <w:color w:val="auto"/>
        </w:rPr>
        <w:t>体质</w:t>
      </w:r>
      <w:r>
        <w:rPr>
          <w:rFonts w:hint="eastAsia"/>
          <w:color w:val="auto"/>
          <w:lang w:eastAsia="zh-CN"/>
        </w:rPr>
        <w:t>：</w:t>
      </w:r>
      <w:r>
        <w:rPr>
          <w:rFonts w:hint="eastAsia"/>
          <w:color w:val="auto"/>
        </w:rPr>
        <w:t>参考王</w:t>
      </w:r>
      <w:r>
        <w:rPr>
          <w:rFonts w:hint="eastAsia" w:ascii="宋体" w:hAnsi="宋体"/>
          <w:color w:val="auto"/>
          <w:szCs w:val="21"/>
        </w:rPr>
        <w:t>琦《中医体质学》</w:t>
      </w:r>
    </w:p>
    <w:p>
      <w:pPr>
        <w:pStyle w:val="21"/>
        <w:keepLines w:val="0"/>
        <w:pageBreakBefore w:val="0"/>
        <w:kinsoku/>
        <w:overflowPunct/>
        <w:topLinePunct w:val="0"/>
        <w:bidi w:val="0"/>
        <w:adjustRightInd/>
        <w:spacing w:line="360" w:lineRule="exact"/>
        <w:rPr>
          <w:rFonts w:hint="eastAsia"/>
          <w:color w:val="auto"/>
        </w:rPr>
      </w:pPr>
    </w:p>
    <w:p>
      <w:pPr>
        <w:pStyle w:val="41"/>
        <w:keepLines w:val="0"/>
        <w:pageBreakBefore w:val="0"/>
        <w:numPr>
          <w:ilvl w:val="0"/>
          <w:numId w:val="0"/>
        </w:numPr>
        <w:kinsoku/>
        <w:wordWrap/>
        <w:overflowPunct/>
        <w:topLinePunct w:val="0"/>
        <w:autoSpaceDE/>
        <w:autoSpaceDN/>
        <w:bidi w:val="0"/>
        <w:adjustRightInd/>
        <w:snapToGrid/>
        <w:spacing w:before="0" w:after="0" w:line="360" w:lineRule="exact"/>
        <w:jc w:val="left"/>
        <w:textAlignment w:val="auto"/>
        <w:rPr>
          <w:color w:val="auto"/>
        </w:rPr>
      </w:pPr>
      <w:r>
        <w:rPr>
          <w:color w:val="auto"/>
        </w:rPr>
        <w:t>A.1</w:t>
      </w:r>
      <w:r>
        <w:rPr>
          <w:rFonts w:hint="eastAsia"/>
          <w:color w:val="auto"/>
          <w:lang w:val="en-US" w:eastAsia="zh-CN"/>
        </w:rPr>
        <w:t xml:space="preserve"> </w:t>
      </w:r>
      <w:r>
        <w:rPr>
          <w:rFonts w:hint="eastAsia" w:ascii="宋体" w:hAnsi="宋体"/>
          <w:color w:val="auto"/>
          <w:szCs w:val="21"/>
        </w:rPr>
        <w:t>痰湿质</w:t>
      </w:r>
    </w:p>
    <w:p>
      <w:pPr>
        <w:keepLines w:val="0"/>
        <w:pageBreakBefore w:val="0"/>
        <w:kinsoku/>
        <w:wordWrap/>
        <w:overflowPunct/>
        <w:topLinePunct w:val="0"/>
        <w:autoSpaceDE/>
        <w:autoSpaceDN/>
        <w:bidi w:val="0"/>
        <w:adjustRightInd/>
        <w:snapToGrid/>
        <w:spacing w:line="360" w:lineRule="exact"/>
        <w:textAlignment w:val="auto"/>
        <w:rPr>
          <w:rFonts w:hint="eastAsia" w:ascii="宋体" w:hAnsi="宋体" w:cs="宋体"/>
          <w:color w:val="auto"/>
          <w:szCs w:val="21"/>
        </w:rPr>
      </w:pPr>
      <w:r>
        <w:rPr>
          <w:rFonts w:hint="eastAsia" w:ascii="宋体" w:hAnsi="宋体" w:cs="宋体"/>
          <w:color w:val="auto"/>
          <w:szCs w:val="21"/>
        </w:rPr>
        <w:t>总体特征：痰湿凝聚，以形体肥胖、腹部肥满、口黏苔腻等痰湿表现为主要特征。形体特征：体形肥胖，腹部肥满松软。常见表现：面部皮肤油脂较多，多汗且黏，胸闷，痰多，口黏腻或甜，喜食肥甘甜黏，苔腻，脉滑。心理特征：性格偏温和、稳重，多善于忍耐。发病倾向：易患消渴、中风、胸痹等病。对外界环境适应能力：对梅雨季节及湿重环境适应能力差。</w:t>
      </w:r>
    </w:p>
    <w:p>
      <w:pPr>
        <w:keepLines w:val="0"/>
        <w:pageBreakBefore w:val="0"/>
        <w:kinsoku/>
        <w:wordWrap/>
        <w:overflowPunct/>
        <w:topLinePunct w:val="0"/>
        <w:autoSpaceDE/>
        <w:autoSpaceDN/>
        <w:bidi w:val="0"/>
        <w:adjustRightInd/>
        <w:snapToGrid/>
        <w:spacing w:line="360" w:lineRule="exact"/>
        <w:textAlignment w:val="auto"/>
        <w:rPr>
          <w:rFonts w:ascii="黑体" w:hAnsi="黑体" w:eastAsia="黑体" w:cs="黑体"/>
          <w:color w:val="auto"/>
          <w:szCs w:val="21"/>
        </w:rPr>
      </w:pPr>
      <w:r>
        <w:rPr>
          <w:rFonts w:ascii="黑体" w:hAnsi="黑体" w:eastAsia="黑体" w:cs="黑体"/>
          <w:color w:val="auto"/>
        </w:rPr>
        <w:t>A.2</w:t>
      </w:r>
      <w:r>
        <w:rPr>
          <w:rFonts w:hint="eastAsia" w:ascii="黑体" w:hAnsi="黑体" w:eastAsia="黑体" w:cs="黑体"/>
          <w:color w:val="auto"/>
          <w:lang w:val="en-US" w:eastAsia="zh-CN"/>
        </w:rPr>
        <w:t xml:space="preserve"> </w:t>
      </w:r>
      <w:r>
        <w:rPr>
          <w:rFonts w:hint="eastAsia" w:ascii="黑体" w:hAnsi="黑体" w:eastAsia="黑体" w:cs="黑体"/>
          <w:color w:val="auto"/>
          <w:szCs w:val="21"/>
        </w:rPr>
        <w:t>血瘀质</w:t>
      </w:r>
      <w:r>
        <w:rPr>
          <w:rFonts w:ascii="黑体" w:hAnsi="黑体" w:eastAsia="黑体" w:cs="黑体"/>
          <w:color w:val="auto"/>
          <w:szCs w:val="21"/>
        </w:rPr>
        <w:t xml:space="preserve"> </w:t>
      </w:r>
    </w:p>
    <w:p>
      <w:pPr>
        <w:keepLines w:val="0"/>
        <w:pageBreakBefore w:val="0"/>
        <w:kinsoku/>
        <w:wordWrap/>
        <w:overflowPunct/>
        <w:topLinePunct w:val="0"/>
        <w:autoSpaceDE/>
        <w:autoSpaceDN/>
        <w:bidi w:val="0"/>
        <w:adjustRightInd/>
        <w:snapToGrid/>
        <w:spacing w:line="360" w:lineRule="exact"/>
        <w:textAlignment w:val="auto"/>
        <w:rPr>
          <w:rFonts w:hint="eastAsia" w:ascii="宋体" w:hAnsi="宋体"/>
          <w:color w:val="auto"/>
          <w:szCs w:val="21"/>
        </w:rPr>
      </w:pPr>
      <w:r>
        <w:rPr>
          <w:rFonts w:hint="eastAsia" w:ascii="宋体" w:hAnsi="宋体"/>
          <w:color w:val="auto"/>
          <w:szCs w:val="21"/>
        </w:rPr>
        <w:t>总体特征：血行不畅，以肤色晦黯、舌质紫黯等血瘀表现为主要特征。形体特征：胖瘦均见。常见表现：肤色晦黯，色素沉着，容易出现瘀斑，口唇黯淡，舌黯或有瘀点，舌下络脉紫黯或增粗，脉涩。心理特征：易烦，健忘。发病倾向：易患</w:t>
      </w:r>
      <w:r>
        <w:rPr>
          <w:rFonts w:hint="eastAsia" w:ascii="宋体" w:hAnsi="宋体"/>
          <w:color w:val="auto"/>
          <w:szCs w:val="21"/>
          <w:lang w:val="en-US" w:eastAsia="zh-CN"/>
        </w:rPr>
        <w:t>癥</w:t>
      </w:r>
      <w:r>
        <w:rPr>
          <w:rFonts w:hint="eastAsia" w:ascii="宋体" w:hAnsi="宋体"/>
          <w:color w:val="auto"/>
          <w:szCs w:val="21"/>
        </w:rPr>
        <w:t>瘕及痛证、血证等。对外界环境适应能力：不耐受寒邪。</w:t>
      </w:r>
    </w:p>
    <w:p>
      <w:pPr>
        <w:keepLines w:val="0"/>
        <w:pageBreakBefore w:val="0"/>
        <w:kinsoku/>
        <w:wordWrap/>
        <w:overflowPunct/>
        <w:topLinePunct w:val="0"/>
        <w:autoSpaceDE/>
        <w:autoSpaceDN/>
        <w:bidi w:val="0"/>
        <w:adjustRightInd/>
        <w:snapToGrid/>
        <w:spacing w:line="360" w:lineRule="exact"/>
        <w:textAlignment w:val="auto"/>
        <w:rPr>
          <w:rFonts w:ascii="黑体" w:hAnsi="黑体" w:eastAsia="黑体" w:cs="黑体"/>
          <w:color w:val="auto"/>
          <w:szCs w:val="21"/>
        </w:rPr>
      </w:pPr>
      <w:r>
        <w:rPr>
          <w:rFonts w:ascii="黑体" w:hAnsi="黑体" w:eastAsia="黑体" w:cs="黑体"/>
          <w:color w:val="auto"/>
        </w:rPr>
        <w:t>A.3</w:t>
      </w:r>
      <w:r>
        <w:rPr>
          <w:rFonts w:hint="eastAsia" w:ascii="黑体" w:hAnsi="黑体" w:eastAsia="黑体" w:cs="黑体"/>
          <w:color w:val="auto"/>
          <w:lang w:val="en-US" w:eastAsia="zh-CN"/>
        </w:rPr>
        <w:t xml:space="preserve"> </w:t>
      </w:r>
      <w:r>
        <w:rPr>
          <w:rFonts w:hint="eastAsia" w:ascii="黑体" w:hAnsi="黑体" w:eastAsia="黑体" w:cs="黑体"/>
          <w:color w:val="auto"/>
          <w:szCs w:val="21"/>
        </w:rPr>
        <w:t>阳虚质</w:t>
      </w:r>
      <w:r>
        <w:rPr>
          <w:rFonts w:ascii="黑体" w:hAnsi="黑体" w:eastAsia="黑体" w:cs="黑体"/>
          <w:color w:val="auto"/>
          <w:szCs w:val="21"/>
        </w:rPr>
        <w:t xml:space="preserve"> </w:t>
      </w:r>
    </w:p>
    <w:p>
      <w:pPr>
        <w:keepLines w:val="0"/>
        <w:pageBreakBefore w:val="0"/>
        <w:kinsoku/>
        <w:wordWrap/>
        <w:overflowPunct/>
        <w:topLinePunct w:val="0"/>
        <w:autoSpaceDE/>
        <w:autoSpaceDN/>
        <w:bidi w:val="0"/>
        <w:adjustRightInd/>
        <w:snapToGrid/>
        <w:spacing w:line="360" w:lineRule="exact"/>
        <w:textAlignment w:val="auto"/>
        <w:rPr>
          <w:rFonts w:hint="eastAsia" w:ascii="宋体" w:hAnsi="宋体"/>
          <w:color w:val="auto"/>
          <w:szCs w:val="21"/>
        </w:rPr>
      </w:pPr>
      <w:r>
        <w:rPr>
          <w:rFonts w:hint="eastAsia" w:ascii="宋体" w:hAnsi="宋体"/>
          <w:color w:val="auto"/>
          <w:szCs w:val="21"/>
        </w:rPr>
        <w:t>总体特征：阳气不足，以畏寒怕冷、手足不温等虚寒表现为主要特征。形体特征：肌肉松软不实。常见表现：平素畏冷，手足不温，喜热饮食，精神不振，舌淡胖嫩，脉沉迟。心理特征：性格多沉静、内向。发病倾向：易患痰饮、肿胀、泄泻等病；感邪易从寒化。对外界环境适应能力：耐夏不耐冬；易感风、寒、湿邪。</w:t>
      </w:r>
    </w:p>
    <w:p>
      <w:pPr>
        <w:keepLines w:val="0"/>
        <w:pageBreakBefore w:val="0"/>
        <w:kinsoku/>
        <w:wordWrap/>
        <w:overflowPunct/>
        <w:topLinePunct w:val="0"/>
        <w:autoSpaceDE/>
        <w:autoSpaceDN/>
        <w:bidi w:val="0"/>
        <w:adjustRightInd/>
        <w:snapToGrid/>
        <w:spacing w:line="360" w:lineRule="exact"/>
        <w:textAlignment w:val="auto"/>
        <w:rPr>
          <w:rFonts w:ascii="黑体" w:hAnsi="黑体" w:eastAsia="黑体" w:cs="黑体"/>
          <w:color w:val="auto"/>
          <w:szCs w:val="21"/>
        </w:rPr>
      </w:pPr>
      <w:r>
        <w:rPr>
          <w:rFonts w:ascii="黑体" w:hAnsi="黑体" w:eastAsia="黑体" w:cs="黑体"/>
          <w:color w:val="auto"/>
        </w:rPr>
        <w:t>A.4</w:t>
      </w:r>
      <w:r>
        <w:rPr>
          <w:rFonts w:hint="eastAsia" w:ascii="黑体" w:hAnsi="黑体" w:eastAsia="黑体" w:cs="黑体"/>
          <w:color w:val="auto"/>
          <w:lang w:val="en-US" w:eastAsia="zh-CN"/>
        </w:rPr>
        <w:t xml:space="preserve"> </w:t>
      </w:r>
      <w:r>
        <w:rPr>
          <w:rFonts w:hint="eastAsia" w:ascii="黑体" w:hAnsi="黑体" w:eastAsia="黑体" w:cs="黑体"/>
          <w:color w:val="auto"/>
          <w:szCs w:val="21"/>
        </w:rPr>
        <w:t>气虚质</w:t>
      </w:r>
      <w:r>
        <w:rPr>
          <w:rFonts w:ascii="黑体" w:hAnsi="黑体" w:eastAsia="黑体" w:cs="黑体"/>
          <w:color w:val="auto"/>
          <w:szCs w:val="21"/>
        </w:rPr>
        <w:t xml:space="preserve"> </w:t>
      </w:r>
    </w:p>
    <w:p>
      <w:pPr>
        <w:keepLines w:val="0"/>
        <w:pageBreakBefore w:val="0"/>
        <w:kinsoku/>
        <w:wordWrap/>
        <w:overflowPunct/>
        <w:topLinePunct w:val="0"/>
        <w:autoSpaceDE/>
        <w:autoSpaceDN/>
        <w:bidi w:val="0"/>
        <w:adjustRightInd/>
        <w:snapToGrid/>
        <w:spacing w:line="360" w:lineRule="exact"/>
        <w:textAlignment w:val="auto"/>
        <w:rPr>
          <w:rFonts w:hint="eastAsia" w:ascii="宋体" w:hAnsi="宋体"/>
          <w:color w:val="auto"/>
          <w:szCs w:val="21"/>
        </w:rPr>
      </w:pPr>
      <w:r>
        <w:rPr>
          <w:rFonts w:hint="eastAsia" w:ascii="宋体" w:hAnsi="宋体"/>
          <w:color w:val="auto"/>
          <w:szCs w:val="21"/>
        </w:rPr>
        <w:t>总体特征：元气不足，以疲乏、气短、自汗等气虚表现为主要特征。形体特征：肌肉松软不实。常见表现：平素语音低弱，气短懒言，容易疲乏，精神不振，易出汗，舌淡红，舌边有齿痕，脉弱。心理特征：性格内向，不喜冒险。发病倾向：易患感冒、内脏下垂等病；病后康复缓慢。对外界环境适应能力：不耐受风、寒、暑、湿邪。</w:t>
      </w:r>
    </w:p>
    <w:p>
      <w:pPr>
        <w:keepLines w:val="0"/>
        <w:pageBreakBefore w:val="0"/>
        <w:kinsoku/>
        <w:wordWrap/>
        <w:overflowPunct/>
        <w:topLinePunct w:val="0"/>
        <w:autoSpaceDE/>
        <w:autoSpaceDN/>
        <w:bidi w:val="0"/>
        <w:adjustRightInd/>
        <w:snapToGrid/>
        <w:spacing w:line="360" w:lineRule="exact"/>
        <w:textAlignment w:val="auto"/>
        <w:rPr>
          <w:rFonts w:ascii="黑体" w:hAnsi="黑体" w:eastAsia="黑体" w:cs="黑体"/>
          <w:color w:val="auto"/>
          <w:szCs w:val="21"/>
        </w:rPr>
      </w:pPr>
      <w:r>
        <w:rPr>
          <w:rFonts w:ascii="黑体" w:hAnsi="黑体" w:eastAsia="黑体" w:cs="黑体"/>
          <w:color w:val="auto"/>
        </w:rPr>
        <w:t>A.5</w:t>
      </w:r>
      <w:r>
        <w:rPr>
          <w:rFonts w:hint="eastAsia" w:ascii="黑体" w:hAnsi="黑体" w:eastAsia="黑体" w:cs="黑体"/>
          <w:color w:val="auto"/>
          <w:lang w:val="en-US" w:eastAsia="zh-CN"/>
        </w:rPr>
        <w:t xml:space="preserve"> </w:t>
      </w:r>
      <w:r>
        <w:rPr>
          <w:rFonts w:hint="eastAsia" w:ascii="黑体" w:hAnsi="黑体" w:eastAsia="黑体" w:cs="黑体"/>
          <w:color w:val="auto"/>
          <w:szCs w:val="21"/>
        </w:rPr>
        <w:t>湿热质</w:t>
      </w:r>
      <w:r>
        <w:rPr>
          <w:rFonts w:ascii="黑体" w:hAnsi="黑体" w:eastAsia="黑体" w:cs="黑体"/>
          <w:color w:val="auto"/>
          <w:szCs w:val="21"/>
        </w:rPr>
        <w:t xml:space="preserve"> </w:t>
      </w:r>
    </w:p>
    <w:p>
      <w:pPr>
        <w:keepLines w:val="0"/>
        <w:pageBreakBefore w:val="0"/>
        <w:kinsoku/>
        <w:wordWrap/>
        <w:overflowPunct/>
        <w:topLinePunct w:val="0"/>
        <w:autoSpaceDE/>
        <w:autoSpaceDN/>
        <w:bidi w:val="0"/>
        <w:adjustRightInd/>
        <w:snapToGrid/>
        <w:spacing w:line="360" w:lineRule="exact"/>
        <w:textAlignment w:val="auto"/>
        <w:rPr>
          <w:rFonts w:hint="eastAsia" w:ascii="宋体" w:hAnsi="宋体"/>
          <w:color w:val="auto"/>
          <w:szCs w:val="21"/>
        </w:rPr>
      </w:pPr>
      <w:r>
        <w:rPr>
          <w:rFonts w:hint="eastAsia" w:ascii="宋体" w:hAnsi="宋体"/>
          <w:color w:val="auto"/>
          <w:szCs w:val="21"/>
        </w:rPr>
        <w:t>总体特征：湿热内蕴，以面垢油光、口苦、苔黄腻等湿热表现为主要特征。形体特征：形体中等或偏瘦。</w:t>
      </w:r>
      <w:r>
        <w:rPr>
          <w:rFonts w:ascii="宋体" w:hAnsi="宋体"/>
          <w:color w:val="auto"/>
          <w:szCs w:val="21"/>
        </w:rPr>
        <w:t xml:space="preserve"> </w:t>
      </w:r>
      <w:r>
        <w:rPr>
          <w:rFonts w:hint="eastAsia" w:ascii="宋体" w:hAnsi="宋体"/>
          <w:color w:val="auto"/>
          <w:szCs w:val="21"/>
        </w:rPr>
        <w:t>常见表现：面垢油光，易生痤疮，口苦口干，身重困倦，大便黏滞不畅或燥结，小便短黄，男性易阴囊潮湿，女性易带下增多，舌质偏红，苔黄腻，脉滑数。心理特征：容易心烦急躁。发病倾向：易患疮疖、黄疸、热淋等病。对外界环境适应能力：对夏末秋初湿热气候，湿重或气温偏高环境较难适应。</w:t>
      </w:r>
    </w:p>
    <w:p>
      <w:pPr>
        <w:keepLines w:val="0"/>
        <w:pageBreakBefore w:val="0"/>
        <w:kinsoku/>
        <w:wordWrap/>
        <w:overflowPunct/>
        <w:topLinePunct w:val="0"/>
        <w:autoSpaceDE/>
        <w:autoSpaceDN/>
        <w:bidi w:val="0"/>
        <w:adjustRightInd/>
        <w:snapToGrid/>
        <w:spacing w:line="360" w:lineRule="exact"/>
        <w:textAlignment w:val="auto"/>
        <w:rPr>
          <w:rFonts w:ascii="黑体" w:hAnsi="黑体" w:eastAsia="黑体" w:cs="黑体"/>
          <w:color w:val="auto"/>
          <w:szCs w:val="21"/>
        </w:rPr>
      </w:pPr>
      <w:r>
        <w:rPr>
          <w:rFonts w:ascii="黑体" w:hAnsi="黑体" w:eastAsia="黑体" w:cs="黑体"/>
          <w:color w:val="auto"/>
        </w:rPr>
        <w:t>A.6</w:t>
      </w:r>
      <w:r>
        <w:rPr>
          <w:rFonts w:hint="eastAsia" w:ascii="黑体" w:hAnsi="黑体" w:eastAsia="黑体" w:cs="黑体"/>
          <w:color w:val="auto"/>
          <w:lang w:val="en-US" w:eastAsia="zh-CN"/>
        </w:rPr>
        <w:t xml:space="preserve"> </w:t>
      </w:r>
      <w:r>
        <w:rPr>
          <w:rFonts w:hint="eastAsia" w:ascii="黑体" w:hAnsi="黑体" w:eastAsia="黑体" w:cs="黑体"/>
          <w:color w:val="auto"/>
          <w:szCs w:val="21"/>
        </w:rPr>
        <w:t>阴虚质</w:t>
      </w:r>
      <w:r>
        <w:rPr>
          <w:rFonts w:ascii="黑体" w:hAnsi="黑体" w:eastAsia="黑体" w:cs="黑体"/>
          <w:color w:val="auto"/>
          <w:szCs w:val="21"/>
        </w:rPr>
        <w:t xml:space="preserve"> </w:t>
      </w:r>
    </w:p>
    <w:p>
      <w:pPr>
        <w:keepLines w:val="0"/>
        <w:pageBreakBefore w:val="0"/>
        <w:kinsoku/>
        <w:wordWrap/>
        <w:overflowPunct/>
        <w:topLinePunct w:val="0"/>
        <w:autoSpaceDE/>
        <w:autoSpaceDN/>
        <w:bidi w:val="0"/>
        <w:adjustRightInd/>
        <w:snapToGrid/>
        <w:spacing w:line="360" w:lineRule="exact"/>
        <w:textAlignment w:val="auto"/>
        <w:rPr>
          <w:rFonts w:hint="eastAsia" w:ascii="宋体" w:hAnsi="宋体"/>
          <w:color w:val="auto"/>
          <w:szCs w:val="21"/>
        </w:rPr>
      </w:pPr>
      <w:r>
        <w:rPr>
          <w:rFonts w:hint="eastAsia" w:ascii="宋体" w:hAnsi="宋体"/>
          <w:color w:val="auto"/>
          <w:szCs w:val="21"/>
        </w:rPr>
        <w:t>总体特征：阴液亏少，以口燥咽干、手足心热等虚热表现为主要特征。形体特征：体形偏瘦。常见表现：手足心热，口燥咽干，鼻微干，喜冷饮，大便干燥，舌红少津，脉细数。心理特征：性情急躁，外向好动，活泼。发病倾向：易患虚劳、失精、不寐等病；感邪易从热化。对外界环境适应能力：耐冬不耐夏；不耐受暑、热、燥邪。</w:t>
      </w:r>
    </w:p>
    <w:p>
      <w:pPr>
        <w:keepLines w:val="0"/>
        <w:pageBreakBefore w:val="0"/>
        <w:kinsoku/>
        <w:wordWrap/>
        <w:overflowPunct/>
        <w:topLinePunct w:val="0"/>
        <w:autoSpaceDE/>
        <w:autoSpaceDN/>
        <w:bidi w:val="0"/>
        <w:adjustRightInd/>
        <w:snapToGrid/>
        <w:spacing w:line="360" w:lineRule="exact"/>
        <w:textAlignment w:val="auto"/>
        <w:rPr>
          <w:rFonts w:ascii="黑体" w:hAnsi="黑体" w:eastAsia="黑体" w:cs="黑体"/>
          <w:color w:val="auto"/>
          <w:szCs w:val="21"/>
        </w:rPr>
      </w:pPr>
      <w:r>
        <w:rPr>
          <w:rFonts w:ascii="黑体" w:hAnsi="黑体" w:eastAsia="黑体" w:cs="黑体"/>
          <w:color w:val="auto"/>
        </w:rPr>
        <w:t>A.7</w:t>
      </w:r>
      <w:r>
        <w:rPr>
          <w:rFonts w:hint="eastAsia" w:ascii="黑体" w:hAnsi="黑体" w:eastAsia="黑体" w:cs="黑体"/>
          <w:color w:val="auto"/>
          <w:lang w:val="en-US" w:eastAsia="zh-CN"/>
        </w:rPr>
        <w:t xml:space="preserve"> </w:t>
      </w:r>
      <w:r>
        <w:rPr>
          <w:rFonts w:hint="eastAsia" w:ascii="黑体" w:hAnsi="黑体" w:eastAsia="黑体" w:cs="黑体"/>
          <w:color w:val="auto"/>
          <w:szCs w:val="21"/>
        </w:rPr>
        <w:t>气郁质</w:t>
      </w:r>
      <w:r>
        <w:rPr>
          <w:rFonts w:ascii="黑体" w:hAnsi="黑体" w:eastAsia="黑体" w:cs="黑体"/>
          <w:color w:val="auto"/>
          <w:szCs w:val="21"/>
        </w:rPr>
        <w:t xml:space="preserve"> </w:t>
      </w:r>
    </w:p>
    <w:p>
      <w:pPr>
        <w:pStyle w:val="2"/>
        <w:keepLines w:val="0"/>
        <w:pageBreakBefore w:val="0"/>
        <w:kinsoku/>
        <w:wordWrap/>
        <w:overflowPunct/>
        <w:topLinePunct w:val="0"/>
        <w:autoSpaceDE/>
        <w:autoSpaceDN/>
        <w:bidi w:val="0"/>
        <w:adjustRightInd/>
        <w:snapToGrid/>
        <w:spacing w:line="360" w:lineRule="exact"/>
        <w:textAlignment w:val="auto"/>
        <w:rPr>
          <w:rFonts w:hint="eastAsia" w:ascii="黑体" w:hAnsi="黑体" w:eastAsia="黑体" w:cs="黑体"/>
          <w:color w:val="auto"/>
          <w:sz w:val="32"/>
          <w:szCs w:val="32"/>
        </w:rPr>
      </w:pPr>
      <w:r>
        <w:rPr>
          <w:rFonts w:hint="eastAsia" w:ascii="宋体" w:hAnsi="宋体"/>
          <w:color w:val="auto"/>
          <w:szCs w:val="21"/>
        </w:rPr>
        <w:t>总体特征：气机郁滞，以神情抑郁、忧虑脆弱等气郁表现为主要特征。形体特征：形体瘦者为多。常见表现：神情抑郁，情感脆弱，烦闷不乐，舌淡红，苔薄白，脉弦。心理特征：性格内向不稳定、敏感多虑。发病倾向：易患脏躁、梅核气、百合病及郁证等。对外界环境适应能力：对精神刺激适应能力较差；不适应阴雨天气。</w:t>
      </w:r>
    </w:p>
    <w:p>
      <w:pPr>
        <w:pStyle w:val="28"/>
        <w:keepNext w:val="0"/>
        <w:keepLines w:val="0"/>
        <w:pageBreakBefore w:val="0"/>
        <w:numPr>
          <w:ilvl w:val="0"/>
          <w:numId w:val="0"/>
        </w:numPr>
        <w:kinsoku/>
        <w:wordWrap/>
        <w:overflowPunct/>
        <w:topLinePunct w:val="0"/>
        <w:bidi w:val="0"/>
        <w:adjustRightInd/>
        <w:snapToGrid/>
        <w:spacing w:line="360" w:lineRule="exact"/>
        <w:ind w:leftChars="0"/>
        <w:jc w:val="center"/>
        <w:textAlignment w:val="auto"/>
        <w:rPr>
          <w:rFonts w:hint="eastAsia" w:ascii="黑体" w:hAnsi="黑体" w:eastAsia="黑体" w:cs="黑体"/>
          <w:color w:val="auto"/>
          <w:sz w:val="32"/>
          <w:szCs w:val="32"/>
        </w:rPr>
      </w:pPr>
    </w:p>
    <w:p>
      <w:pPr>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pStyle w:val="2"/>
        <w:keepLines w:val="0"/>
        <w:pageBreakBefore w:val="0"/>
        <w:kinsoku/>
        <w:overflowPunct/>
        <w:topLinePunct w:val="0"/>
        <w:bidi w:val="0"/>
        <w:adjustRightInd/>
        <w:spacing w:line="360" w:lineRule="exact"/>
        <w:rPr>
          <w:rFonts w:hint="eastAsia" w:ascii="黑体" w:hAnsi="黑体" w:eastAsia="黑体" w:cs="黑体"/>
          <w:color w:val="auto"/>
          <w:sz w:val="32"/>
          <w:szCs w:val="32"/>
        </w:rPr>
      </w:pPr>
    </w:p>
    <w:p>
      <w:pPr>
        <w:keepNext w:val="0"/>
        <w:keepLines w:val="0"/>
        <w:pageBreakBefore w:val="0"/>
        <w:kinsoku/>
        <w:wordWrap/>
        <w:overflowPunct/>
        <w:topLinePunct w:val="0"/>
        <w:autoSpaceDE/>
        <w:autoSpaceDN/>
        <w:bidi w:val="0"/>
        <w:adjustRightInd/>
        <w:snapToGrid/>
        <w:spacing w:line="360" w:lineRule="exact"/>
        <w:jc w:val="both"/>
        <w:textAlignment w:val="auto"/>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pStyle w:val="2"/>
        <w:rPr>
          <w:rFonts w:hint="eastAsia" w:ascii="黑体" w:hAnsi="黑体" w:eastAsia="黑体" w:cs="黑体"/>
          <w:color w:val="auto"/>
          <w:kern w:val="0"/>
          <w:sz w:val="21"/>
          <w:szCs w:val="21"/>
        </w:rPr>
      </w:pP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rPr>
        <w:t>附录</w:t>
      </w:r>
      <w:r>
        <w:rPr>
          <w:rFonts w:hint="eastAsia" w:ascii="黑体" w:hAnsi="黑体" w:eastAsia="黑体" w:cs="黑体"/>
          <w:color w:val="auto"/>
          <w:kern w:val="0"/>
          <w:sz w:val="21"/>
          <w:szCs w:val="21"/>
          <w:lang w:val="en-US" w:eastAsia="zh-CN"/>
        </w:rPr>
        <w:t>B</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（资料性</w:t>
      </w:r>
      <w:r>
        <w:rPr>
          <w:rFonts w:hint="eastAsia" w:ascii="黑体" w:hAnsi="黑体" w:eastAsia="黑体" w:cs="黑体"/>
          <w:color w:val="auto"/>
          <w:kern w:val="0"/>
          <w:sz w:val="21"/>
          <w:szCs w:val="21"/>
          <w:lang w:val="en-US" w:eastAsia="zh-CN"/>
        </w:rPr>
        <w:t>附录</w:t>
      </w:r>
      <w:r>
        <w:rPr>
          <w:rFonts w:hint="eastAsia" w:ascii="黑体" w:hAnsi="黑体" w:eastAsia="黑体" w:cs="黑体"/>
          <w:color w:val="auto"/>
          <w:kern w:val="0"/>
          <w:sz w:val="21"/>
          <w:szCs w:val="21"/>
        </w:rPr>
        <w:t>）</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1"/>
          <w:szCs w:val="21"/>
        </w:rPr>
      </w:pPr>
      <w:r>
        <w:rPr>
          <w:rFonts w:hint="eastAsia" w:ascii="黑体" w:hAnsi="黑体" w:eastAsia="黑体" w:cs="黑体"/>
          <w:color w:val="auto"/>
          <w:sz w:val="21"/>
          <w:szCs w:val="21"/>
          <w:lang w:val="en-US" w:eastAsia="zh-CN"/>
        </w:rPr>
        <w:t>指南中的</w:t>
      </w:r>
      <w:r>
        <w:rPr>
          <w:rFonts w:hint="eastAsia" w:ascii="黑体" w:hAnsi="黑体" w:eastAsia="黑体" w:cs="黑体"/>
          <w:color w:val="auto"/>
          <w:sz w:val="21"/>
          <w:szCs w:val="21"/>
        </w:rPr>
        <w:t>证据分级</w:t>
      </w:r>
    </w:p>
    <w:p>
      <w:pPr>
        <w:pStyle w:val="2"/>
        <w:rPr>
          <w:rFonts w:hint="default"/>
          <w:color w:val="auto"/>
          <w:lang w:val="en-US" w:eastAsia="zh-CN"/>
        </w:rPr>
      </w:pPr>
    </w:p>
    <w:p>
      <w:pPr>
        <w:pStyle w:val="21"/>
        <w:keepNext w:val="0"/>
        <w:keepLines w:val="0"/>
        <w:pageBreakBefore w:val="0"/>
        <w:kinsoku/>
        <w:wordWrap/>
        <w:overflowPunct/>
        <w:topLinePunct w:val="0"/>
        <w:bidi w:val="0"/>
        <w:adjustRightInd/>
        <w:snapToGrid/>
        <w:spacing w:line="360" w:lineRule="exact"/>
        <w:textAlignment w:val="auto"/>
        <w:rPr>
          <w:rFonts w:hint="eastAsia" w:ascii="宋体" w:hAnsi="宋体" w:eastAsia="宋体" w:cs="宋体"/>
          <w:color w:val="auto"/>
          <w:sz w:val="21"/>
          <w:szCs w:val="21"/>
          <w:lang w:val="en-US"/>
        </w:rPr>
      </w:pPr>
      <w:r>
        <w:rPr>
          <w:rFonts w:hint="eastAsia" w:ascii="宋体" w:hAnsi="宋体" w:eastAsia="宋体" w:cs="宋体"/>
          <w:color w:val="auto"/>
          <w:kern w:val="0"/>
          <w:sz w:val="21"/>
          <w:szCs w:val="21"/>
          <w:lang w:val="en-US" w:eastAsia="zh-CN" w:bidi="ar"/>
        </w:rPr>
        <w:t>证据分级标准参考刘建平教授在《基于证据体的中医药临床证据分级标准建议》、《中医药真实世界研究证据的构成及分级标准建议》中提出的传统医学证据体的构成及证据分级的建议。具体如下：</w:t>
      </w:r>
    </w:p>
    <w:p>
      <w:pPr>
        <w:keepNext w:val="0"/>
        <w:keepLines w:val="0"/>
        <w:pageBreakBefore w:val="0"/>
        <w:widowControl/>
        <w:suppressLineNumbers w:val="0"/>
        <w:kinsoku/>
        <w:wordWrap/>
        <w:overflowPunct/>
        <w:topLinePunct w:val="0"/>
        <w:bidi w:val="0"/>
        <w:adjustRightInd/>
        <w:snapToGrid/>
        <w:spacing w:line="36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Ⅰ级 随机对照试验及其系统综述、N-of-1试验系统综述 </w:t>
      </w:r>
    </w:p>
    <w:p>
      <w:pPr>
        <w:keepNext w:val="0"/>
        <w:keepLines w:val="0"/>
        <w:pageBreakBefore w:val="0"/>
        <w:widowControl/>
        <w:suppressLineNumbers w:val="0"/>
        <w:kinsoku/>
        <w:wordWrap/>
        <w:overflowPunct/>
        <w:topLinePunct w:val="0"/>
        <w:bidi w:val="0"/>
        <w:adjustRightInd/>
        <w:snapToGrid/>
        <w:spacing w:line="36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Ⅱ级 非随机临床对照试验、队列研究、N-of-1试验 </w:t>
      </w:r>
    </w:p>
    <w:p>
      <w:pPr>
        <w:keepNext w:val="0"/>
        <w:keepLines w:val="0"/>
        <w:pageBreakBefore w:val="0"/>
        <w:widowControl/>
        <w:suppressLineNumbers w:val="0"/>
        <w:kinsoku/>
        <w:wordWrap/>
        <w:overflowPunct/>
        <w:topLinePunct w:val="0"/>
        <w:bidi w:val="0"/>
        <w:adjustRightInd/>
        <w:snapToGrid/>
        <w:spacing w:line="36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Ⅲ级 病例对照研究、前瞻性病例系列 </w:t>
      </w:r>
    </w:p>
    <w:p>
      <w:pPr>
        <w:keepNext w:val="0"/>
        <w:keepLines w:val="0"/>
        <w:pageBreakBefore w:val="0"/>
        <w:widowControl/>
        <w:suppressLineNumbers w:val="0"/>
        <w:kinsoku/>
        <w:wordWrap/>
        <w:overflowPunct/>
        <w:topLinePunct w:val="0"/>
        <w:bidi w:val="0"/>
        <w:adjustRightInd/>
        <w:snapToGrid/>
        <w:spacing w:line="36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 xml:space="preserve">Ⅳ级 规范化的专家共识、回顾性病例系列、历史性对照研究 </w:t>
      </w:r>
    </w:p>
    <w:p>
      <w:pPr>
        <w:keepNext w:val="0"/>
        <w:keepLines w:val="0"/>
        <w:pageBreakBefore w:val="0"/>
        <w:widowControl/>
        <w:suppressLineNumbers w:val="0"/>
        <w:kinsoku/>
        <w:wordWrap/>
        <w:overflowPunct/>
        <w:topLinePunct w:val="0"/>
        <w:bidi w:val="0"/>
        <w:adjustRightInd/>
        <w:snapToGrid/>
        <w:spacing w:line="360" w:lineRule="exact"/>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Ⅴ级 非规范化专家共识、病例报告、经验总结</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注: 规范化的专家共识，指通过正式共识方法( 如德尔菲法，名义群组法，共识会议法，以及改良德尔菲法等) ，总结专家意见制订的，为临床决策提供依据的文件; 非规范化的专家共识，指早期应用非正式共识方法如集体讨论，会议等，所总结的专家经验性文件。</w:t>
      </w:r>
    </w:p>
    <w:p>
      <w:pPr>
        <w:pStyle w:val="2"/>
        <w:keepNext w:val="0"/>
        <w:keepLines w:val="0"/>
        <w:pageBreakBefore w:val="0"/>
        <w:kinsoku/>
        <w:wordWrap/>
        <w:overflowPunct/>
        <w:topLinePunct w:val="0"/>
        <w:bidi w:val="0"/>
        <w:adjustRightInd/>
        <w:snapToGrid/>
        <w:spacing w:line="360" w:lineRule="exact"/>
        <w:textAlignment w:val="auto"/>
        <w:rPr>
          <w:rFonts w:hint="eastAsia" w:ascii="宋体" w:hAnsi="宋体" w:eastAsia="宋体" w:cs="宋体"/>
          <w:color w:val="auto"/>
          <w:sz w:val="21"/>
          <w:szCs w:val="21"/>
        </w:rPr>
      </w:pPr>
    </w:p>
    <w:p>
      <w:pPr>
        <w:pStyle w:val="2"/>
        <w:keepNext w:val="0"/>
        <w:keepLines w:val="0"/>
        <w:pageBreakBefore w:val="0"/>
        <w:kinsoku/>
        <w:wordWrap/>
        <w:overflowPunct/>
        <w:topLinePunct w:val="0"/>
        <w:bidi w:val="0"/>
        <w:adjustRightInd/>
        <w:snapToGrid/>
        <w:spacing w:line="360" w:lineRule="exact"/>
        <w:textAlignment w:val="auto"/>
        <w:rPr>
          <w:rFonts w:hint="eastAsia" w:ascii="宋体" w:hAnsi="宋体" w:eastAsia="宋体" w:cs="宋体"/>
          <w:color w:val="auto"/>
          <w:sz w:val="21"/>
          <w:szCs w:val="21"/>
        </w:rPr>
      </w:pPr>
    </w:p>
    <w:p>
      <w:pPr>
        <w:pStyle w:val="2"/>
        <w:keepNext w:val="0"/>
        <w:keepLines w:val="0"/>
        <w:pageBreakBefore w:val="0"/>
        <w:kinsoku/>
        <w:wordWrap/>
        <w:overflowPunct/>
        <w:topLinePunct w:val="0"/>
        <w:bidi w:val="0"/>
        <w:adjustRightInd/>
        <w:snapToGrid/>
        <w:spacing w:line="360" w:lineRule="exact"/>
        <w:textAlignment w:val="auto"/>
        <w:rPr>
          <w:rFonts w:hint="eastAsia" w:ascii="宋体" w:hAnsi="宋体" w:eastAsia="宋体" w:cs="宋体"/>
          <w:color w:val="auto"/>
          <w:sz w:val="21"/>
          <w:szCs w:val="21"/>
        </w:rPr>
      </w:pPr>
    </w:p>
    <w:p>
      <w:pPr>
        <w:pStyle w:val="2"/>
        <w:keepNext w:val="0"/>
        <w:keepLines w:val="0"/>
        <w:pageBreakBefore w:val="0"/>
        <w:kinsoku/>
        <w:wordWrap/>
        <w:overflowPunct/>
        <w:topLinePunct w:val="0"/>
        <w:bidi w:val="0"/>
        <w:adjustRightInd/>
        <w:snapToGrid/>
        <w:spacing w:line="360" w:lineRule="exact"/>
        <w:textAlignment w:val="auto"/>
        <w:rPr>
          <w:rFonts w:hint="eastAsia" w:ascii="宋体" w:hAnsi="宋体" w:eastAsia="宋体" w:cs="宋体"/>
          <w:color w:val="auto"/>
          <w:sz w:val="21"/>
          <w:szCs w:val="21"/>
        </w:rPr>
      </w:pPr>
    </w:p>
    <w:p>
      <w:pPr>
        <w:pStyle w:val="28"/>
        <w:keepNext w:val="0"/>
        <w:keepLines w:val="0"/>
        <w:pageBreakBefore w:val="0"/>
        <w:numPr>
          <w:ilvl w:val="0"/>
          <w:numId w:val="0"/>
        </w:numPr>
        <w:kinsoku/>
        <w:wordWrap/>
        <w:overflowPunct/>
        <w:topLinePunct w:val="0"/>
        <w:bidi w:val="0"/>
        <w:adjustRightInd/>
        <w:snapToGrid/>
        <w:spacing w:line="360" w:lineRule="exact"/>
        <w:ind w:leftChars="0"/>
        <w:jc w:val="both"/>
        <w:textAlignment w:val="auto"/>
        <w:rPr>
          <w:rFonts w:hint="eastAsia" w:ascii="黑体" w:hAnsi="黑体" w:eastAsia="黑体" w:cs="黑体"/>
          <w:color w:val="auto"/>
          <w:sz w:val="32"/>
          <w:szCs w:val="32"/>
        </w:rPr>
      </w:pPr>
    </w:p>
    <w:p>
      <w:pPr>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pStyle w:val="2"/>
        <w:rPr>
          <w:rFonts w:hint="eastAsia" w:ascii="黑体" w:hAnsi="黑体" w:eastAsia="黑体" w:cs="黑体"/>
          <w:color w:val="auto"/>
          <w:sz w:val="32"/>
          <w:szCs w:val="32"/>
        </w:rPr>
      </w:pP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kern w:val="0"/>
          <w:sz w:val="21"/>
          <w:szCs w:val="21"/>
          <w:lang w:val="en-US" w:eastAsia="zh-CN"/>
        </w:rPr>
      </w:pPr>
      <w:r>
        <w:rPr>
          <w:rFonts w:hint="eastAsia" w:ascii="黑体" w:hAnsi="黑体" w:eastAsia="黑体" w:cs="黑体"/>
          <w:color w:val="auto"/>
          <w:kern w:val="0"/>
          <w:sz w:val="21"/>
          <w:szCs w:val="21"/>
        </w:rPr>
        <w:t>附录</w:t>
      </w:r>
      <w:r>
        <w:rPr>
          <w:rFonts w:hint="eastAsia" w:ascii="黑体" w:hAnsi="黑体" w:eastAsia="黑体" w:cs="黑体"/>
          <w:color w:val="auto"/>
          <w:kern w:val="0"/>
          <w:sz w:val="21"/>
          <w:szCs w:val="21"/>
          <w:lang w:val="en-US" w:eastAsia="zh-CN"/>
        </w:rPr>
        <w:t>C</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kern w:val="0"/>
          <w:sz w:val="21"/>
          <w:szCs w:val="21"/>
        </w:rPr>
      </w:pPr>
      <w:r>
        <w:rPr>
          <w:rFonts w:hint="eastAsia" w:ascii="黑体" w:hAnsi="黑体" w:eastAsia="黑体" w:cs="黑体"/>
          <w:color w:val="auto"/>
          <w:kern w:val="0"/>
          <w:sz w:val="21"/>
          <w:szCs w:val="21"/>
        </w:rPr>
        <w:t>（资料性</w:t>
      </w:r>
      <w:r>
        <w:rPr>
          <w:rFonts w:hint="eastAsia" w:ascii="黑体" w:hAnsi="黑体" w:eastAsia="黑体" w:cs="黑体"/>
          <w:color w:val="auto"/>
          <w:kern w:val="0"/>
          <w:sz w:val="21"/>
          <w:szCs w:val="21"/>
          <w:lang w:val="en-US" w:eastAsia="zh-CN"/>
        </w:rPr>
        <w:t>附录</w:t>
      </w:r>
      <w:r>
        <w:rPr>
          <w:rFonts w:hint="eastAsia" w:ascii="黑体" w:hAnsi="黑体" w:eastAsia="黑体" w:cs="黑体"/>
          <w:color w:val="auto"/>
          <w:kern w:val="0"/>
          <w:sz w:val="21"/>
          <w:szCs w:val="21"/>
        </w:rPr>
        <w:t>）</w:t>
      </w:r>
    </w:p>
    <w:p>
      <w:pPr>
        <w:pStyle w:val="2"/>
        <w:jc w:val="center"/>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推荐强度的定义</w:t>
      </w:r>
    </w:p>
    <w:p>
      <w:pPr>
        <w:pStyle w:val="2"/>
        <w:jc w:val="center"/>
        <w:rPr>
          <w:rFonts w:hint="eastAsia" w:ascii="黑体" w:hAnsi="黑体" w:eastAsia="黑体" w:cs="黑体"/>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推荐意见强度的定义</w:t>
      </w:r>
    </w:p>
    <w:tbl>
      <w:tblPr>
        <w:tblStyle w:val="12"/>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8"/>
        <w:gridCol w:w="7200"/>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970"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推荐强度</w:t>
            </w:r>
          </w:p>
        </w:tc>
        <w:tc>
          <w:tcPr>
            <w:tcW w:w="11991"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定义</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1970" w:type="dxa"/>
            <w:tcBorders>
              <w:top w:val="single" w:color="auto" w:sz="8"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强推荐</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p>
        </w:tc>
        <w:tc>
          <w:tcPr>
            <w:tcW w:w="11991" w:type="dxa"/>
            <w:tcBorders>
              <w:top w:val="single" w:color="auto" w:sz="8" w:space="0"/>
              <w:bottom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对于临床医生，多数医生会选择使用该推荐意见；对于患者，绝大多数患者会采纳推荐意见，只有少数不会；对于政策制定者，大多数情况会采纳推荐意见作为政策。</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jc w:val="center"/>
        </w:trPr>
        <w:tc>
          <w:tcPr>
            <w:tcW w:w="1970"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弱推荐</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仿宋" w:cs="Times New Roman"/>
                <w:color w:val="auto"/>
                <w:sz w:val="24"/>
                <w:szCs w:val="24"/>
              </w:rPr>
            </w:pPr>
          </w:p>
        </w:tc>
        <w:tc>
          <w:tcPr>
            <w:tcW w:w="11991" w:type="dxa"/>
            <w:tcBorders>
              <w:top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对于临床医生，应认识到不同患者有各自适合的方案，需要帮助每个患者做出体现其价值观和意愿的决定；对于患者，大多数患者会采纳推荐意见，但仍有不少患者不采用；对于政策制定者，制定政策需要实质性讨论，并需要众多利益相关参与。</w:t>
            </w:r>
          </w:p>
        </w:tc>
      </w:tr>
    </w:tbl>
    <w:p>
      <w:pPr>
        <w:pStyle w:val="2"/>
        <w:rPr>
          <w:rFonts w:hint="eastAsia"/>
          <w:color w:val="auto"/>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
        <w:jc w:val="center"/>
        <w:rPr>
          <w:rFonts w:hint="default" w:ascii="黑体" w:hAnsi="黑体" w:eastAsia="黑体" w:cs="黑体"/>
          <w:color w:val="auto"/>
          <w:sz w:val="21"/>
          <w:szCs w:val="21"/>
          <w:lang w:val="en-US" w:eastAsia="zh-CN"/>
        </w:rPr>
      </w:pPr>
    </w:p>
    <w:p>
      <w:pPr>
        <w:pStyle w:val="28"/>
        <w:keepNext w:val="0"/>
        <w:keepLines w:val="0"/>
        <w:pageBreakBefore w:val="0"/>
        <w:numPr>
          <w:ilvl w:val="0"/>
          <w:numId w:val="0"/>
        </w:numPr>
        <w:kinsoku/>
        <w:wordWrap/>
        <w:overflowPunct/>
        <w:topLinePunct w:val="0"/>
        <w:bidi w:val="0"/>
        <w:adjustRightInd/>
        <w:snapToGrid/>
        <w:spacing w:line="360" w:lineRule="exact"/>
        <w:ind w:left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参 考 文 献</w:t>
      </w:r>
      <w:bookmarkEnd w:id="34"/>
      <w:bookmarkEnd w:id="35"/>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[1]李妍妍.郑玉玲教授以“治未病”思想论治食管癌经验[J].中医研究,2011,05:67-69.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[2]SUNG H,FEＲLAY J,SIEGEL ＲL,et al．Global Cancer Statistics 2020:GLOBOCAN estimates of incidence and mortality worldwide for 36 cancers in 185 countries［J］．CA Cancer J Clin，2021，71(3):209.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[3]苏菲,贾立群,程志强,邓超,娄彦妮.中医药干预食管癌前病变转癌相关研究进展[J]. 中国实验方剂学杂志,2022,09:242-247.</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[4]</w:t>
      </w:r>
      <w:r>
        <w:rPr>
          <w:rFonts w:hint="eastAsia" w:ascii="宋体" w:hAnsi="宋体" w:eastAsia="宋体" w:cs="宋体"/>
          <w:i w:val="0"/>
          <w:iCs w:val="0"/>
          <w:caps w:val="0"/>
          <w:color w:val="auto"/>
          <w:spacing w:val="0"/>
          <w:sz w:val="21"/>
          <w:szCs w:val="21"/>
          <w:u w:val="none"/>
          <w:shd w:val="clear" w:fill="FFFFFF"/>
        </w:rPr>
        <w:t>陈志峰,张俊会.我国中草药治疗食管癌前病变的Meta分析[J].中医研究,1999,01:22-23.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w:t>
      </w:r>
      <w:r>
        <w:rPr>
          <w:rFonts w:hint="eastAsia" w:ascii="宋体" w:hAnsi="宋体" w:eastAsia="宋体" w:cs="宋体"/>
          <w:i w:val="0"/>
          <w:iCs w:val="0"/>
          <w:caps w:val="0"/>
          <w:color w:val="auto"/>
          <w:spacing w:val="0"/>
          <w:sz w:val="21"/>
          <w:szCs w:val="21"/>
          <w:u w:val="none"/>
          <w:shd w:val="clear" w:fill="FFFFFF"/>
        </w:rPr>
        <w:t>陈廷勇.中医药对食管粘膜轻、中度异型增生的治疗[J].临床医药文献电子杂志,2016,31:6257-6259.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]孙盟朝,练宇飞,崔莉红.增生平联合四君子汤治疗脾虚热瘀型食管低级别上皮内瘤变的临床效果[J].中国中西医结合外科杂志,2020,06:1140-1145.</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[7]中国食管鳞癌癌前状态及癌前病变诊治策略专家共识[J].中华消化内镜杂志,2020,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12:853-867.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[8]中国早期食管癌及癌前病变筛查专家共识意见(2019年,新乡)[J].中华健康管理学杂志,2019,06:465-473.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[9]李鹏,王拥军,陈光勇,许昌芹.中国巴雷特食管及其早期腺癌筛查与诊治共识(2017,万宁)[J].中华内科杂志,2017,09:701-711.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[10]Guindi M，Riddell RH.The pathology of epithelial pre-malignancy of the gastrointestinal tract[J].Best Pract Res Clin Gastroenterol,2001,15(2):191-210.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[11]Shimizu M,Nagtta K,Yamaguchi H,et al.Squamous intraepithelial neoplasia of the esophagus:past,present,and future[J].J Gastroenterol,2009,44(2):103-112.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[12]Hornick GL,Odze RD.Neoplastic precursor lesions in Barrett’s esophagus[J].</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Gastroenterol Clin North Am,2007,36(4):775-796.DOI:10.1016/j.gtc.2007.08.004.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[13]Sikkema M,Kerkhof M,Steyerberg EW,et al.Aneuploidy and overexpression of Ki67 and P53 as markers for neoplastic progression in Barrett’s esophagus:a case-control study[J].Am J Gastroenterol,2009,104(11):2673-2680.DOI:10.1038/ajg.</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2009.437.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[14]Sikkema M,Looman CW,Steyerberg EW,et al.Predictors for neoplastic progression in patients with Barrett’s esophagus:a prospective cohort study[J].Am J Gastroenterol,2011,106(7):1231-1238.DOI:10.1038/ajg.2011.153.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[15]马丹,杨帆,廖专,王洛伟.中国早期食管癌筛查及内镜诊治专家共识意见精简版(2014年,北京)[J].中华消化杂志,2015,05:294-299.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[16]Barrett NR.The lower esophagus lined by columnar epithelium[J].Surgery,</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1957,41(6):881-894.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[17]Mabrut JY,Baulieux J,Adham M,et al.Impact of antirefulx operation on columnar-lined esophagus[J].J Am Coll Surg,2003,196(10:60-67.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[18]Desai TK,Krishnan K,Samala N,et al.The incidence of oesophageal adenocarcinoma in non-dysplastic Barrett’s oesophagus:a meta-analysis[J].Gut,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2012,61(7):970-976.DOI:10.1136/gutjnl-2011-300730.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[19]Falk GW.Barrett’s esophagus[J].Gastroenterology,2002,122(6):1569-1591.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[20]Sampliner RE,Pactice Parameters Committee of the American College of  Gastroenterology.Updated guidelines for the diagnosis,surveillance,and therapy of Barrett’s esophagus[J].Am J Gastroenterol,2002,97(8):1888-1895.DOI:10.1111/j.</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1572-0241.2002.05910.x.</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[21]Dawsey SM, Lewin KJ, Wang GQ, et al. Squamous esophageal histology and subsequent risk of squamous cell carcinoma of the esophagus. A prospective follow-up study from Linxian, China[J]. Cancer, 1994,74(6):1686-1692. DOI:10.1002/1097-0142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(19940915)74:6&lt;1686::aid-cncr2820740608&gt;3.0.co;2-v.</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]赵学科,徐瑞华,雷玲玲,李志强,丰善良,魏梦霞,范宗民,宋昕,韩雪娜,陈红梅,王伟,孟超龙,郝晓兰,裘宋良,王立东.食管癌高发区无症状居民食管癌前病变36a(1986-2021)随访转归[J].郑州大学学报(医学版),2022,01:6-9.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[23]Wei WQ, Hao CQ, Guan CT, et al. Esophageal histological precursor lesions and subsequent 8.5-year cancer risk in a population-based prospective study in China[J]. Am J Gastroenterol, 2020,115(7):1036-1044. DOI: 10.14309/ajg.000000000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0000640.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[24]Chen R, Liu Y, Song G, et al. Effectiveness of one-time endoscopic screening programme in prevention of upper gastrointestinal cancer in China: a multicentre population-based cohort study[J]. Gut, 2020. DOI: 10.1136/gutjnl-2019-320200.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[25]Lin Y,Totsuka Y,He Y,et,al.Epidemiology of esophageal cancer in Japan and China[J].J Epidemiol,2013,23(4):233-242.DOI:10.2188/Jea.je20120162.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[26]周脉耕，王晓风，胡建平，等.2004-2005年中国主要恶性肿瘤死亡的地理分布特点[J].中华预防医学杂志，2010，44（4）：303-308.DOI:10.3760/Cma.j.issn.0253-9624.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2010.04.006.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[27]曾红梅，郑荣寿，张思维，等.中国食管癌发病趋势分析和预测[J].中华预防医学杂志,2012,46(7):593-597.DOI:10.3760/Cma.j.issn.0253-9624.2012.07.004.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[28]Nan J,Xiaoduo W,Nan Z,et al.Younger age of onset and multiple primary lesions associated with esophageal squamous cell carcinoma cases with a positive family history of the cancer suggests genetic predisposition[J].Chin Med J(Engl),</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2014,127(15):2779-2783.DOI:10.3760/cma.j.issn.0366-6999.20140119.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29</w:t>
      </w:r>
      <w:r>
        <w:rPr>
          <w:rFonts w:hint="eastAsia" w:ascii="宋体" w:hAnsi="宋体" w:eastAsia="宋体" w:cs="宋体"/>
          <w:color w:val="auto"/>
          <w:sz w:val="21"/>
          <w:szCs w:val="21"/>
          <w:shd w:val="clear" w:color="auto" w:fill="auto"/>
          <w:lang w:val="en-US" w:eastAsia="zh-CN"/>
        </w:rPr>
        <w:t>]Su YY,Chen WC,Chuang HC,et al.Effect of routine esophageal screening in patients with head and neck cancer[J].JAMA Otolaryngol Head Neck Surg,2013,139(4):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350-354.DOI:10.1001/jamaoto.2013.46.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0</w:t>
      </w:r>
      <w:r>
        <w:rPr>
          <w:rFonts w:hint="eastAsia" w:ascii="宋体" w:hAnsi="宋体" w:eastAsia="宋体" w:cs="宋体"/>
          <w:color w:val="auto"/>
          <w:sz w:val="21"/>
          <w:szCs w:val="21"/>
          <w:shd w:val="clear" w:color="auto" w:fill="auto"/>
          <w:lang w:val="en-US" w:eastAsia="zh-CN"/>
        </w:rPr>
        <w:t>]Wei WQ，Abnet CC，Lu N，et al.Risk factors for oesophageal squamous dysplasia in adult inhabitants of a high risk region of china[J].Gut,2005,54(6):759-763.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DOI:10.1136/gut.2004.062331.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1</w:t>
      </w:r>
      <w:r>
        <w:rPr>
          <w:rFonts w:hint="eastAsia" w:ascii="宋体" w:hAnsi="宋体" w:eastAsia="宋体" w:cs="宋体"/>
          <w:color w:val="auto"/>
          <w:sz w:val="21"/>
          <w:szCs w:val="21"/>
          <w:shd w:val="clear" w:color="auto" w:fill="auto"/>
          <w:lang w:val="en-US" w:eastAsia="zh-CN"/>
        </w:rPr>
        <w:t>]He Z，Liu Z，Liu M，et al.Efficacy of endoscopic screening for esophageal cancer in China(ESECC):design and preliminary results of a population-based randomised controlled trial[J].Gut,2019,69(2):198-206.DOI:10.1136/gutjnl-2017-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315520.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]Sheikh M,Poustchi H,Pourshams A,et al.Individual and combined Effects of Environmental Risk Factors for Esophageal Cancer Based on Results Fron the Golestan Cohort Study[J].Gastroenterology,2019,156(5):1416-1427.DOI:10.1053/j.gastro.</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2018.12.024.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]Spechler SJ,Souza RF.Barrett’s esophagus[J].N Engl J Med,2014,371(9):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836-845.DOI:10.1056/NEJMra1314704.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]Taylor JB,Rubenstein JH.Meta-analyses of the effect of symptoms of gastroesophageal reflux on the risk of Barret’s esophagus[J].Am J Gastroenterol,</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2010,105(80:1729,1730-1737;quiz 1738.DOI:10.1038/ajg.2010.194.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[35]美丽克扎提·安扎尔,米热阿依·阿布都哈的尔,高峰.肠型巴雷特食管危险因素临床分析[J].中华胃食管反流病电子杂志,2020,03:177-181.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]Andrici J,Cox MR,Eslick GD.Cigarette smoking and the risk of Barrett’s esophagus:a systematic review and meta-analysis[J].J Gastroenterol Hepatol,2013,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28(8):1258-1273.DOI:10.1111/jgh.12230.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]Hampel H,Abraham NS,EI-Serag HB.Meta-analysis:obesity and the risk for gastroesophageal reflux disease and its complications[J].Ann Intern Med,2005,</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143(3):199-211.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[3</w:t>
      </w:r>
      <w:r>
        <w:rPr>
          <w:rFonts w:hint="eastAsia" w:hAnsi="宋体" w:cs="宋体"/>
          <w:color w:val="auto"/>
          <w:sz w:val="21"/>
          <w:szCs w:val="21"/>
          <w:shd w:val="clear" w:color="auto" w:fill="auto"/>
          <w:lang w:val="en-US" w:eastAsia="zh-CN"/>
        </w:rPr>
        <w:t>8</w:t>
      </w:r>
      <w:r>
        <w:rPr>
          <w:rFonts w:hint="eastAsia" w:ascii="宋体" w:hAnsi="宋体" w:eastAsia="宋体" w:cs="宋体"/>
          <w:color w:val="auto"/>
          <w:sz w:val="21"/>
          <w:szCs w:val="21"/>
          <w:shd w:val="clear" w:color="auto" w:fill="auto"/>
          <w:lang w:val="en-US" w:eastAsia="zh-CN"/>
        </w:rPr>
        <w:t>]Kubo A,Cook MB,Shaheen NJ,et al.Sex-specific associations between body mass index,waist circumference and the risk of Barrett’s oesophagus: a pooled analysis from the international BEACON consortium[J].Gut,2013,62(12):1684-1691.DOI:10.1136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/GUTJNL-2012-303753.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39</w:t>
      </w:r>
      <w:r>
        <w:rPr>
          <w:rFonts w:hint="eastAsia" w:ascii="宋体" w:hAnsi="宋体" w:eastAsia="宋体" w:cs="宋体"/>
          <w:color w:val="auto"/>
          <w:sz w:val="21"/>
          <w:szCs w:val="21"/>
          <w:shd w:val="clear" w:color="auto" w:fill="auto"/>
          <w:lang w:val="en-US" w:eastAsia="zh-CN"/>
        </w:rPr>
        <w:t>]Rubenstein JH,Morgenstern H,Appelman H,et al,Prediction of Barrett’s esophagus among men[J].Am J Gastroenterol,2013,108(3):353-362.DOI:10.1038/ajg.</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default"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2012.446</w:t>
      </w:r>
      <w:r>
        <w:rPr>
          <w:rFonts w:hint="eastAsia" w:hAnsi="宋体" w:cs="宋体"/>
          <w:color w:val="auto"/>
          <w:sz w:val="21"/>
          <w:szCs w:val="21"/>
          <w:shd w:val="clear" w:color="auto" w:fill="auto"/>
          <w:lang w:val="en-US" w:eastAsia="zh-CN"/>
        </w:rPr>
        <w: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0</w:t>
      </w:r>
      <w:r>
        <w:rPr>
          <w:rFonts w:hint="eastAsia" w:ascii="宋体" w:hAnsi="宋体" w:eastAsia="宋体" w:cs="宋体"/>
          <w:color w:val="auto"/>
          <w:sz w:val="21"/>
          <w:szCs w:val="21"/>
          <w:shd w:val="clear" w:color="auto" w:fill="auto"/>
          <w:lang w:val="en-US" w:eastAsia="zh-CN"/>
        </w:rPr>
        <w:t>]杨丽丽,姜娜,李晶.生活方式干预对食管癌二级预防的应用[J].吉林医学,2010,31(02):252.</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1</w:t>
      </w:r>
      <w:r>
        <w:rPr>
          <w:rFonts w:hint="eastAsia" w:ascii="宋体" w:hAnsi="宋体" w:eastAsia="宋体" w:cs="宋体"/>
          <w:color w:val="auto"/>
          <w:sz w:val="21"/>
          <w:szCs w:val="21"/>
          <w:shd w:val="clear" w:color="auto" w:fill="auto"/>
          <w:lang w:val="en-US" w:eastAsia="zh-CN"/>
        </w:rPr>
        <w:t>]</w:t>
      </w:r>
      <w:r>
        <w:rPr>
          <w:rFonts w:hint="eastAsia" w:ascii="宋体" w:hAnsi="宋体" w:eastAsia="宋体" w:cs="宋体"/>
          <w:color w:val="auto"/>
          <w:sz w:val="21"/>
          <w:szCs w:val="21"/>
          <w:lang w:val="en-US" w:eastAsia="zh-CN"/>
        </w:rPr>
        <w:t xml:space="preserve">Freedman ND,Abnet CC,Leitzmann MF,Mouw </w:t>
      </w:r>
      <w:r>
        <w:rPr>
          <w:rFonts w:hint="default" w:ascii="宋体" w:hAnsi="宋体" w:eastAsia="宋体" w:cs="宋体"/>
          <w:color w:val="auto"/>
          <w:sz w:val="21"/>
          <w:szCs w:val="21"/>
          <w:lang w:val="en-US" w:eastAsia="zh-CN"/>
        </w:rPr>
        <w:t xml:space="preserve">T,Subar AF, Hollenbeck AR, Schatzkin A. A propective study of tobacco, alcohol, and the risk of esophageal and gastric cancer subtypes. </w:t>
      </w:r>
      <w:r>
        <w:rPr>
          <w:rFonts w:hint="eastAsia" w:ascii="宋体" w:hAnsi="宋体" w:eastAsia="宋体" w:cs="宋体"/>
          <w:color w:val="auto"/>
          <w:sz w:val="21"/>
          <w:szCs w:val="21"/>
          <w:lang w:val="en-US" w:eastAsia="zh-CN"/>
        </w:rPr>
        <w:t xml:space="preserve">Am J </w:t>
      </w:r>
      <w:r>
        <w:rPr>
          <w:rFonts w:hint="default" w:ascii="宋体" w:hAnsi="宋体" w:eastAsia="宋体" w:cs="宋体"/>
          <w:color w:val="auto"/>
          <w:sz w:val="21"/>
          <w:szCs w:val="21"/>
          <w:lang w:val="en-US" w:eastAsia="zh-CN"/>
        </w:rPr>
        <w:t>Epidemiol 2007; 165: 1424-1433</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w:t>
      </w:r>
      <w:r>
        <w:rPr>
          <w:rFonts w:hint="eastAsia" w:ascii="宋体" w:hAnsi="宋体" w:eastAsia="宋体" w:cs="宋体"/>
          <w:color w:val="auto"/>
          <w:sz w:val="21"/>
          <w:szCs w:val="21"/>
          <w:lang w:val="en-US" w:eastAsia="zh-CN"/>
        </w:rPr>
        <w:t>刘伯齐,姜晶梅,陈铮鸣,陈君石,张孔来,曾宪嘉,赵</w:t>
      </w:r>
      <w:r>
        <w:rPr>
          <w:rFonts w:hint="default" w:ascii="宋体" w:hAnsi="宋体" w:eastAsia="宋体" w:cs="宋体"/>
          <w:color w:val="auto"/>
          <w:sz w:val="21"/>
          <w:szCs w:val="21"/>
          <w:lang w:val="en-US" w:eastAsia="zh-CN"/>
        </w:rPr>
        <w:t>平,Jillian Boreham,武燕平, 黎均耀, Richard Peto.中国103个地区吸烟与食管癌风险研究:死因调查中的病例对照方法学研究. 中华医学杂志 2006; 86: 380-385</w:t>
      </w:r>
      <w:r>
        <w:rPr>
          <w:rFonts w:hint="eastAsia" w:ascii="宋体" w:hAnsi="宋体" w:eastAsia="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w:t>
      </w:r>
      <w:r>
        <w:rPr>
          <w:rFonts w:hint="default" w:ascii="宋体" w:hAnsi="宋体" w:eastAsia="宋体" w:cs="宋体"/>
          <w:color w:val="auto"/>
          <w:sz w:val="21"/>
          <w:szCs w:val="21"/>
          <w:lang w:val="en-US" w:eastAsia="zh-CN"/>
        </w:rPr>
        <w:t>Wu M,Zhao JK,Hu XS, Wang PH,Qin Y,Lu YC,Yang J,Liu AM,Wu DL,Zhang ZF,Frans KJ, van't Veer P.Association of smoking, alcohol drinking and dietary factors with esophageal cancer in high</w:t>
      </w:r>
      <w:r>
        <w:rPr>
          <w:rFonts w:hint="eastAsia" w:ascii="宋体" w:hAnsi="宋体" w:eastAsia="宋体" w:cs="宋体"/>
          <w:color w:val="auto"/>
          <w:sz w:val="21"/>
          <w:szCs w:val="21"/>
          <w:lang w:val="en-US" w:eastAsia="zh-CN"/>
        </w:rPr>
        <w:t xml:space="preserve"> </w:t>
      </w:r>
      <w:r>
        <w:rPr>
          <w:rFonts w:hint="default" w:ascii="宋体" w:hAnsi="宋体" w:eastAsia="宋体" w:cs="宋体"/>
          <w:color w:val="auto"/>
          <w:sz w:val="21"/>
          <w:szCs w:val="21"/>
          <w:lang w:val="en-US" w:eastAsia="zh-CN"/>
        </w:rPr>
        <w:t>and low-risk areas of Jiangsu Province, China. World J Gastroenterol 2006; 12: 1686-1693</w:t>
      </w:r>
      <w:r>
        <w:rPr>
          <w:rFonts w:hint="eastAsia" w:ascii="宋体" w:hAnsi="宋体" w:eastAsia="宋体" w:cs="宋体"/>
          <w:color w:val="auto"/>
          <w:sz w:val="21"/>
          <w:szCs w:val="21"/>
          <w:lang w:val="en-US" w:eastAsia="zh-CN"/>
        </w:rPr>
        <w: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]孟倩倩,原翔,刘怡文,杨海军,张耀文,刘安祥,高社干,周福有.牙龈卟啉单胞菌在食管癌变过程中的作用研究[J].食管疾病,2020,2(02):121-124.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]杨巧婷,郑惠琴.系统化运动指导与食管癌患者术后生存质量影响研究[J].中国卫生产业,2013,10(26):26-27.DOI:10.16659/j.cnki.1672-5654.2013.26.024.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]吴文裕,林振原.有氧运动对食管癌术后抑郁状态的影响及机制研究[J].按摩与康复医学,2021,12(13):24-26+30.DOI:10.19787/j.issn.1008-1879.2021.13.008.</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]常兴,张恬,孟庆岩,张庆祥.探析情志养生在情志病和中医“治未病”思想中重要作用[J].辽宁中医药大学学报,2018,20(08):88-90.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[4</w:t>
      </w:r>
      <w:r>
        <w:rPr>
          <w:rFonts w:hint="eastAsia" w:hAnsi="宋体" w:cs="宋体"/>
          <w:color w:val="auto"/>
          <w:sz w:val="21"/>
          <w:szCs w:val="21"/>
          <w:shd w:val="clear" w:color="auto" w:fill="auto"/>
          <w:lang w:val="en-US" w:eastAsia="zh-CN"/>
        </w:rPr>
        <w:t>8</w:t>
      </w:r>
      <w:r>
        <w:rPr>
          <w:rFonts w:hint="eastAsia" w:ascii="宋体" w:hAnsi="宋体" w:eastAsia="宋体" w:cs="宋体"/>
          <w:color w:val="auto"/>
          <w:sz w:val="21"/>
          <w:szCs w:val="21"/>
          <w:shd w:val="clear" w:color="auto" w:fill="auto"/>
          <w:lang w:val="en-US" w:eastAsia="zh-CN"/>
        </w:rPr>
        <w:t>]邓海燕</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武胜萍</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吴晓芳</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刘丹.柴胡疏肝散治疗肿瘤相关性抑郁肝郁脾虚证临床研究[J].国际中医中药杂志</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2022,4（02）：150-153.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49</w:t>
      </w:r>
      <w:r>
        <w:rPr>
          <w:rFonts w:hint="eastAsia" w:ascii="宋体" w:hAnsi="宋体" w:eastAsia="宋体" w:cs="宋体"/>
          <w:color w:val="auto"/>
          <w:sz w:val="21"/>
          <w:szCs w:val="21"/>
          <w:shd w:val="clear" w:color="auto" w:fill="auto"/>
          <w:lang w:val="en-US" w:eastAsia="zh-CN"/>
        </w:rPr>
        <w:t>]胡文盈</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柳阳</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陈毅恒</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许二平.左金丸合半夏泻心汤治疗胆汁反流性胃炎疗效和安全性的Meta分析[J].中国学报</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2022,37(04):887-894.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0</w:t>
      </w:r>
      <w:r>
        <w:rPr>
          <w:rFonts w:hint="eastAsia" w:ascii="宋体" w:hAnsi="宋体" w:eastAsia="宋体" w:cs="宋体"/>
          <w:color w:val="auto"/>
          <w:sz w:val="21"/>
          <w:szCs w:val="21"/>
          <w:shd w:val="clear" w:color="auto" w:fill="auto"/>
          <w:lang w:val="en-US" w:eastAsia="zh-CN"/>
        </w:rPr>
        <w:t>]王盼盼</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费鲜晓</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杨慧</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陈凯楠.旋覆代赭汤治疗胃食管反流病临床观察[J].光明中医</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2022</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37（04）:558-560.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1</w:t>
      </w:r>
      <w:r>
        <w:rPr>
          <w:rFonts w:hint="eastAsia" w:ascii="宋体" w:hAnsi="宋体" w:eastAsia="宋体" w:cs="宋体"/>
          <w:color w:val="auto"/>
          <w:sz w:val="21"/>
          <w:szCs w:val="21"/>
          <w:shd w:val="clear" w:color="auto" w:fill="auto"/>
          <w:lang w:val="en-US" w:eastAsia="zh-CN"/>
        </w:rPr>
        <w:t>]丘晓静.香砂六君子汤加减治疗功能性消化不良（脾胃虚弱型）临床研究[J].亚太传统医药</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2022,18(01):116-118.</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]刘子提</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司富春</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张漂.启膈散的研究[J].中国中医基础医学杂志,2021,27（02）:335-339.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]刘思达</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邓博</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陈冬梅</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贾立群.增生平防治肿瘤的研究进展[J].中国医药导报2021,18（02）:31-34.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]姚嵩梅, 王洪, 潘多.中医养生药膳与食疗全书[M].吉林：吉林科学技术出版社</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2012</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282.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]叶芳.食道癌患者食疗应对症[J].家庭医药.快乐养生,2019(01):16-17.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]欧阳军.食管癌的药膳方[J].东方药膳,2006(01):10-14.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]李柳宁.癌症中医特色治疗与调养[M].北京：化学工业出版社, 2016, 388.</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[5</w:t>
      </w:r>
      <w:r>
        <w:rPr>
          <w:rFonts w:hint="eastAsia" w:hAnsi="宋体" w:cs="宋体"/>
          <w:color w:val="auto"/>
          <w:sz w:val="21"/>
          <w:szCs w:val="21"/>
          <w:shd w:val="clear" w:color="auto" w:fill="auto"/>
          <w:lang w:val="en-US" w:eastAsia="zh-CN"/>
        </w:rPr>
        <w:t>8</w:t>
      </w:r>
      <w:r>
        <w:rPr>
          <w:rFonts w:hint="eastAsia" w:ascii="宋体" w:hAnsi="宋体" w:eastAsia="宋体" w:cs="宋体"/>
          <w:color w:val="auto"/>
          <w:sz w:val="21"/>
          <w:szCs w:val="21"/>
          <w:shd w:val="clear" w:color="auto" w:fill="auto"/>
          <w:lang w:val="en-US" w:eastAsia="zh-CN"/>
        </w:rPr>
        <w:t>]徐力</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鹿竞文.抗癌药膳100种[M].北京:人民卫生出版社</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2014</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289-290.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59</w:t>
      </w:r>
      <w:r>
        <w:rPr>
          <w:rFonts w:hint="eastAsia" w:ascii="宋体" w:hAnsi="宋体" w:eastAsia="宋体" w:cs="宋体"/>
          <w:color w:val="auto"/>
          <w:sz w:val="21"/>
          <w:szCs w:val="21"/>
          <w:shd w:val="clear" w:color="auto" w:fill="auto"/>
          <w:lang w:val="en-US" w:eastAsia="zh-CN"/>
        </w:rPr>
        <w:t>]常敏毅.治疗食管癌的药膳[J].中国食品,1999(20):10-11.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0</w:t>
      </w:r>
      <w:r>
        <w:rPr>
          <w:rFonts w:hint="eastAsia" w:ascii="宋体" w:hAnsi="宋体" w:eastAsia="宋体" w:cs="宋体"/>
          <w:color w:val="auto"/>
          <w:sz w:val="21"/>
          <w:szCs w:val="21"/>
          <w:shd w:val="clear" w:color="auto" w:fill="auto"/>
          <w:lang w:val="en-US" w:eastAsia="zh-CN"/>
        </w:rPr>
        <w:t>]李典云.食管癌药膳食疗[J].东方药膳,2008(02):14-15.</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61</w:t>
      </w:r>
      <w:r>
        <w:rPr>
          <w:rFonts w:hint="eastAsia" w:ascii="宋体" w:hAnsi="宋体" w:eastAsia="宋体" w:cs="宋体"/>
          <w:color w:val="auto"/>
          <w:sz w:val="21"/>
          <w:szCs w:val="21"/>
          <w:shd w:val="clear" w:color="auto" w:fill="auto"/>
          <w:lang w:val="en-US" w:eastAsia="zh-CN"/>
        </w:rPr>
        <w:t>]杨建宇.抗癌食疗药膳方[M].北京：化学工业出版社, 2015, 230.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]路永照.两道防线守住我们的抗癌阵地[J].中华养生保健,2004(03):33-34.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]柳国文,周晓红.针刺治疗食管癌术后反流的临床观察[J].中国民间疗法,2021,29(22):28-30.DOI:10.19621/j.cnki.11-3555/r.2021.2211.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]刘文健,王浩,梁涛.合募配穴促进食管癌术后胃肠功能恢复[J].中国肿瘤外科杂志,2016,8(05):330-332.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]谢守泳.针刺联合益气养阴汤治疗晚期食管癌的临床价值研讨[J].中医药临床杂志,2016,28(02):242-244.DOI:10.16448/j.cjtcm.2016.0091.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]梁繁荣,王华. 针灸学（新世纪第四版）[M].北京：中国中医药出版社</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2016.30-112.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]张亚玲,郑玉玲.中医外治法治疗食管癌研究进展[J].中医肿瘤学杂志,2020,2(04):77-81.DOI:10.19811/j.cnki.ISSN2096-6628.2020.04.017.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[6</w:t>
      </w:r>
      <w:r>
        <w:rPr>
          <w:rFonts w:hint="eastAsia" w:hAnsi="宋体" w:cs="宋体"/>
          <w:color w:val="auto"/>
          <w:sz w:val="21"/>
          <w:szCs w:val="21"/>
          <w:shd w:val="clear" w:color="auto" w:fill="auto"/>
          <w:lang w:val="en-US" w:eastAsia="zh-CN"/>
        </w:rPr>
        <w:t>8</w:t>
      </w:r>
      <w:r>
        <w:rPr>
          <w:rFonts w:hint="eastAsia" w:ascii="宋体" w:hAnsi="宋体" w:eastAsia="宋体" w:cs="宋体"/>
          <w:color w:val="auto"/>
          <w:sz w:val="21"/>
          <w:szCs w:val="21"/>
          <w:shd w:val="clear" w:color="auto" w:fill="auto"/>
          <w:lang w:val="en-US" w:eastAsia="zh-CN"/>
        </w:rPr>
        <w:t>]许彦超,刘亚南,李吉磊,邵帅,任娟,董良,孙明月,马纯政,郑玉玲.中医外治法治疗食管癌评述[J].中医学报,2020,35(08):1681-1684.DOI:10.16368/j.issn.1674-8999.2020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.08.378.</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eastAsia" w:ascii="宋体" w:hAnsi="宋体" w:eastAsia="宋体" w:cs="宋体"/>
          <w:color w:val="auto"/>
          <w:sz w:val="21"/>
          <w:szCs w:val="21"/>
          <w:shd w:val="clear" w:color="auto" w:fill="auto"/>
          <w:lang w:val="en-US" w:eastAsia="zh-CN"/>
        </w:rPr>
      </w:pPr>
      <w:r>
        <w:rPr>
          <w:rFonts w:hint="eastAsia" w:hAnsi="宋体" w:cs="宋体"/>
          <w:color w:val="auto"/>
          <w:sz w:val="21"/>
          <w:szCs w:val="21"/>
          <w:shd w:val="clear" w:color="auto" w:fill="auto"/>
          <w:lang w:val="en-US" w:eastAsia="zh-CN"/>
        </w:rPr>
        <w:t>[69]</w:t>
      </w:r>
      <w:r>
        <w:rPr>
          <w:rFonts w:hint="eastAsia" w:ascii="宋体" w:hAnsi="宋体" w:eastAsia="宋体" w:cs="宋体"/>
          <w:color w:val="auto"/>
          <w:sz w:val="21"/>
          <w:szCs w:val="21"/>
          <w:shd w:val="clear" w:color="auto" w:fill="auto"/>
          <w:lang w:val="en-US" w:eastAsia="zh-CN"/>
        </w:rPr>
        <w:t>郭文宣,曹宁,赫芸菲,韩昀彤,董雪,宁思渊,王洪彬.基于数据挖掘分析针刺治疗胃食管反流病的取穴规律[J].山西中医药大学学报,2021,22(06):397-400.DOI:10.19763/j.</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cnki.2096-7403.2021.06.02.</w:t>
      </w:r>
    </w:p>
    <w:p>
      <w:pPr>
        <w:pStyle w:val="21"/>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exact"/>
        <w:ind w:firstLine="420" w:firstLineChars="200"/>
        <w:jc w:val="left"/>
        <w:textAlignment w:val="auto"/>
        <w:rPr>
          <w:rFonts w:hint="eastAsia" w:ascii="宋体" w:hAnsi="宋体" w:eastAsia="宋体" w:cs="宋体"/>
          <w:color w:val="auto"/>
          <w:sz w:val="21"/>
          <w:szCs w:val="21"/>
          <w:shd w:val="clear" w:color="auto" w:fill="auto"/>
          <w:lang w:val="en-US" w:eastAsia="zh-CN"/>
        </w:rPr>
      </w:pPr>
      <w:r>
        <w:rPr>
          <w:rFonts w:hint="eastAsia" w:hAnsi="宋体" w:cs="宋体"/>
          <w:color w:val="auto"/>
          <w:sz w:val="21"/>
          <w:szCs w:val="21"/>
          <w:shd w:val="clear" w:color="auto" w:fill="auto"/>
          <w:lang w:val="en-US" w:eastAsia="zh-CN"/>
        </w:rPr>
        <w:t>[70]</w:t>
      </w:r>
      <w:r>
        <w:rPr>
          <w:rFonts w:hint="eastAsia" w:ascii="宋体" w:hAnsi="宋体" w:eastAsia="宋体" w:cs="宋体"/>
          <w:color w:val="auto"/>
          <w:sz w:val="21"/>
          <w:szCs w:val="21"/>
          <w:shd w:val="clear" w:color="auto" w:fill="auto"/>
          <w:lang w:val="en-US" w:eastAsia="zh-CN"/>
        </w:rPr>
        <w:t>王雨玉,张勇.针刺对寒热错杂型胃食管反流病患者临床症状、胃食管动力及生活质量的影响[J].临床医学研究与践,2021,6(09):133-135.DOI:10.19347/j.cnki.2096-1413.</w:t>
      </w:r>
    </w:p>
    <w:p>
      <w:pPr>
        <w:pStyle w:val="21"/>
        <w:keepNext w:val="0"/>
        <w:keepLines w:val="0"/>
        <w:pageBreakBefore w:val="0"/>
        <w:widowControl/>
        <w:numPr>
          <w:ilvl w:val="0"/>
          <w:numId w:val="0"/>
        </w:numPr>
        <w:tabs>
          <w:tab w:val="center" w:pos="4201"/>
          <w:tab w:val="right" w:leader="dot" w:pos="9298"/>
        </w:tabs>
        <w:kinsoku/>
        <w:wordWrap/>
        <w:overflowPunct/>
        <w:topLinePunct w:val="0"/>
        <w:autoSpaceDE w:val="0"/>
        <w:autoSpaceDN w:val="0"/>
        <w:bidi w:val="0"/>
        <w:adjustRightInd/>
        <w:snapToGrid/>
        <w:spacing w:line="360" w:lineRule="exact"/>
        <w:jc w:val="left"/>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202109046.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1</w:t>
      </w:r>
      <w:r>
        <w:rPr>
          <w:rFonts w:hint="eastAsia" w:ascii="宋体" w:hAnsi="宋体" w:eastAsia="宋体" w:cs="宋体"/>
          <w:color w:val="auto"/>
          <w:sz w:val="21"/>
          <w:szCs w:val="21"/>
          <w:shd w:val="clear" w:color="auto" w:fill="auto"/>
          <w:lang w:val="en-US" w:eastAsia="zh-CN"/>
        </w:rPr>
        <w:t>]杨悦榕. 温针灸治疗脾胃虚弱型反流性食管炎的疗效观察[D].山西中医药大学,2017.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]何健仪,黎敏嫦.艾灸对反流性食管炎的临床疗效观察[J].智慧健康,2020,6(32):171-172.DOI:10.19335/j.cnki.2096-1219.2020.32.069.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]李永红.艾灸治疗反流性食管炎的疗效观察[D].安徽中医药大学,2019.DOI:10.26922/d.cnki.ganzc.2019.000070.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]吴淑华.择时艾灸足三里、天枢穴促进食管癌术后胃肠功能恢复的探讨[J].光明中医,2015,30(04):805-807.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]王莹,彭伟.艾灸配合Stretta射频治疗胃食管反流病40例临床研究[J].河北中医,2016,38(02):259-261.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]段涛,李文献,刘长增,刘自超,罗朝辉,杨云,王贝,王洁.穴位艾灸治疗食管癌贲门癌术后胃瘫综合征的临床研究[J].中国中医药现代远程教育,2016,14(17):99-101.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]朱东晓.低频脉冲配合耳穴贴磁治疗胃食管反流60例[J].云南中医中药杂志,2010,31(03):41-42.DOI:10.16254/j.cnki.53-1120/r.2010.03.050.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[7</w:t>
      </w:r>
      <w:r>
        <w:rPr>
          <w:rFonts w:hint="eastAsia" w:hAnsi="宋体" w:cs="宋体"/>
          <w:color w:val="auto"/>
          <w:sz w:val="21"/>
          <w:szCs w:val="21"/>
          <w:shd w:val="clear" w:color="auto" w:fill="auto"/>
          <w:lang w:val="en-US" w:eastAsia="zh-CN"/>
        </w:rPr>
        <w:t>8</w:t>
      </w:r>
      <w:r>
        <w:rPr>
          <w:rFonts w:hint="eastAsia" w:ascii="宋体" w:hAnsi="宋体" w:eastAsia="宋体" w:cs="宋体"/>
          <w:color w:val="auto"/>
          <w:sz w:val="21"/>
          <w:szCs w:val="21"/>
          <w:shd w:val="clear" w:color="auto" w:fill="auto"/>
          <w:lang w:val="en-US" w:eastAsia="zh-CN"/>
        </w:rPr>
        <w:t>]周国赢.电针加耳针治疗反流性食管炎84例[J].中国中医药信息杂志,2004(10):907-909.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79</w:t>
      </w:r>
      <w:r>
        <w:rPr>
          <w:rFonts w:hint="eastAsia" w:ascii="宋体" w:hAnsi="宋体" w:eastAsia="宋体" w:cs="宋体"/>
          <w:color w:val="auto"/>
          <w:sz w:val="21"/>
          <w:szCs w:val="21"/>
          <w:shd w:val="clear" w:color="auto" w:fill="auto"/>
          <w:lang w:val="en-US" w:eastAsia="zh-CN"/>
        </w:rPr>
        <w:t>]张玉荣.按压耳中穴治疗食管癌术后呃逆的临床护理分析[J].吉林医学,2013,34(09):1783.</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0</w:t>
      </w:r>
      <w:r>
        <w:rPr>
          <w:rFonts w:hint="eastAsia" w:ascii="宋体" w:hAnsi="宋体" w:eastAsia="宋体" w:cs="宋体"/>
          <w:color w:val="auto"/>
          <w:sz w:val="21"/>
          <w:szCs w:val="21"/>
          <w:shd w:val="clear" w:color="auto" w:fill="auto"/>
          <w:lang w:val="en-US" w:eastAsia="zh-CN"/>
        </w:rPr>
        <w:t>]李南希,黄锦军,黄兆欣,贾梦云.腹背部推拿治疗脾胃病的临床研究进展[J].中国民族民间医药,2021,30(01):82-86.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1</w:t>
      </w:r>
      <w:r>
        <w:rPr>
          <w:rFonts w:hint="eastAsia" w:ascii="宋体" w:hAnsi="宋体" w:eastAsia="宋体" w:cs="宋体"/>
          <w:color w:val="auto"/>
          <w:sz w:val="21"/>
          <w:szCs w:val="21"/>
          <w:shd w:val="clear" w:color="auto" w:fill="auto"/>
          <w:lang w:val="en-US" w:eastAsia="zh-CN"/>
        </w:rPr>
        <w:t>]俞大方. 中医推拿学[J]. 人民卫生出版社, 1985.</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 xml:space="preserve">]程爵棠,程功文.熏洗疗法治百病[M].3版.北京:人民军医出版社,2013. </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]高学敏等.中药学[M].北京:中国中医药出版社,2007.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]彭洁等.熏洗疗法[M].2版.南宁:广西科学技术出版社,2001.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]刘保延,彭锦. 常见病中医穴位贴敷疗法[M]. 北京: 中医古籍出版社, 2010: 1-3-15.</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]魏虹,唐雯琦,马萍萍,胡玉珍.穴位敷贴治疗胃肠道术后顽固性呃逆疗效研究[J].吉林中医药,2020,40(12):1655-1658.DOI:10.13463/j.cnki.jlzyy.2020.12.032.</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[8</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]鲁燕,张华,董霞,刘晓辉.中药穴位贴敷联合化疗治疗中晚期食管癌的疗效观察[J].中国医药导刊,2021,23(02):91-95.</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jc w:val="left"/>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88</w:t>
      </w:r>
      <w:r>
        <w:rPr>
          <w:rFonts w:hint="eastAsia" w:ascii="宋体" w:hAnsi="宋体" w:eastAsia="宋体" w:cs="宋体"/>
          <w:color w:val="auto"/>
          <w:sz w:val="21"/>
          <w:szCs w:val="21"/>
          <w:shd w:val="clear" w:color="auto" w:fill="auto"/>
          <w:lang w:val="en-US" w:eastAsia="zh-CN"/>
        </w:rPr>
        <w:t>]谢强丽,王珏,冯霞飞,徐韧,李文玉.不同中医疗法促进食管癌术后患者胃肠功能恢复的比较[J].温州医科大学学报,2014,44(10):772-774.DOI:10.13771/j.cnki.33-1386/r.</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jc w:val="left"/>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2014.10.020.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89</w:t>
      </w:r>
      <w:r>
        <w:rPr>
          <w:rFonts w:hint="eastAsia" w:ascii="宋体" w:hAnsi="宋体" w:eastAsia="宋体" w:cs="宋体"/>
          <w:color w:val="auto"/>
          <w:sz w:val="21"/>
          <w:szCs w:val="21"/>
          <w:shd w:val="clear" w:color="auto" w:fill="auto"/>
          <w:lang w:val="en-US" w:eastAsia="zh-CN"/>
        </w:rPr>
        <w:t>]彭洁等.熏洗疗法[M].2版.南宁:广西科学技术出版社,2001.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0</w:t>
      </w:r>
      <w:r>
        <w:rPr>
          <w:rFonts w:hint="eastAsia" w:ascii="宋体" w:hAnsi="宋体" w:eastAsia="宋体" w:cs="宋体"/>
          <w:color w:val="auto"/>
          <w:sz w:val="21"/>
          <w:szCs w:val="21"/>
          <w:shd w:val="clear" w:color="auto" w:fill="auto"/>
          <w:lang w:val="en-US" w:eastAsia="zh-CN"/>
        </w:rPr>
        <w:t>]侯庆梅,杨丽华,修闽宁.155例肿瘤化疗患者中医传统功法锻炼知行现状及影响因素分析[J].护理学报,2020,27(03):49-54.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1</w:t>
      </w:r>
      <w:r>
        <w:rPr>
          <w:rFonts w:hint="eastAsia" w:ascii="宋体" w:hAnsi="宋体" w:eastAsia="宋体" w:cs="宋体"/>
          <w:color w:val="auto"/>
          <w:sz w:val="21"/>
          <w:szCs w:val="21"/>
          <w:shd w:val="clear" w:color="auto" w:fill="auto"/>
          <w:lang w:val="en-US" w:eastAsia="zh-CN"/>
        </w:rPr>
        <w:t>]陈辉,蔡憐环,何伟秀.基于脑肠轴学说的太极云手对慢性疲劳综合征患者胃肠功能的影响[J].中国当代医药,2021,28(30):143-146.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2</w:t>
      </w:r>
      <w:r>
        <w:rPr>
          <w:rFonts w:hint="eastAsia" w:ascii="宋体" w:hAnsi="宋体" w:eastAsia="宋体" w:cs="宋体"/>
          <w:color w:val="auto"/>
          <w:sz w:val="21"/>
          <w:szCs w:val="21"/>
          <w:shd w:val="clear" w:color="auto" w:fill="auto"/>
          <w:lang w:val="en-US" w:eastAsia="zh-CN"/>
        </w:rPr>
        <w:t>]汤红丽,吴锋耀,韦进新,林群英,黄毅强.中医太极对社区体质的干预调查分析[J].智慧健康,2019,5(09):40-41.DOI:10.19335/j.cnki.2096-1219.2019.09.020.</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3</w:t>
      </w:r>
      <w:r>
        <w:rPr>
          <w:rFonts w:hint="eastAsia" w:ascii="宋体" w:hAnsi="宋体" w:eastAsia="宋体" w:cs="宋体"/>
          <w:color w:val="auto"/>
          <w:sz w:val="21"/>
          <w:szCs w:val="21"/>
          <w:shd w:val="clear" w:color="auto" w:fill="auto"/>
          <w:lang w:val="en-US" w:eastAsia="zh-CN"/>
        </w:rPr>
        <w:t>]曹昺焱,饶毅,胡光迪,庄威,姜美驰,肖京.八段锦源流考辩[J].医学与哲学,2021,42(12):74-77.</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4</w:t>
      </w:r>
      <w:r>
        <w:rPr>
          <w:rFonts w:hint="eastAsia" w:ascii="宋体" w:hAnsi="宋体" w:eastAsia="宋体" w:cs="宋体"/>
          <w:color w:val="auto"/>
          <w:sz w:val="21"/>
          <w:szCs w:val="21"/>
          <w:shd w:val="clear" w:color="auto" w:fill="auto"/>
          <w:lang w:val="en-US" w:eastAsia="zh-CN"/>
        </w:rPr>
        <w:t>]朱吉颖,周红蔚.八段锦治疗肿瘤患者癌因性疲乏的效果观察[J].中国社区医师,2022,38(01):144-146.</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5</w:t>
      </w:r>
      <w:r>
        <w:rPr>
          <w:rFonts w:hint="eastAsia" w:ascii="宋体" w:hAnsi="宋体" w:eastAsia="宋体" w:cs="宋体"/>
          <w:color w:val="auto"/>
          <w:sz w:val="21"/>
          <w:szCs w:val="21"/>
          <w:shd w:val="clear" w:color="auto" w:fill="auto"/>
          <w:lang w:val="en-US" w:eastAsia="zh-CN"/>
        </w:rPr>
        <w:t>]张杰,邱家栋.健身气功“治未病”生理机制探析——以五禽戏为例[J].武术研究,2020,5(09):97-100.DOI:10.13293/j.cnki.wskx.008574.</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6</w:t>
      </w:r>
      <w:r>
        <w:rPr>
          <w:rFonts w:hint="eastAsia" w:ascii="宋体" w:hAnsi="宋体" w:eastAsia="宋体" w:cs="宋体"/>
          <w:color w:val="auto"/>
          <w:sz w:val="21"/>
          <w:szCs w:val="21"/>
          <w:shd w:val="clear" w:color="auto" w:fill="auto"/>
          <w:lang w:val="en-US" w:eastAsia="zh-CN"/>
        </w:rPr>
        <w:t>]张琳,魏玉龙.五禽戏国内外临床研究进展[J].按摩与康复医学,2019,10(23):24-27+32.DOI:10.19787/j.issn.1008-1879.2019.23.11.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[9</w:t>
      </w:r>
      <w:r>
        <w:rPr>
          <w:rFonts w:hint="eastAsia" w:hAnsi="宋体" w:cs="宋体"/>
          <w:color w:val="auto"/>
          <w:sz w:val="21"/>
          <w:szCs w:val="21"/>
          <w:shd w:val="clear" w:color="auto" w:fill="auto"/>
          <w:lang w:val="en-US" w:eastAsia="zh-CN"/>
        </w:rPr>
        <w:t>7</w:t>
      </w:r>
      <w:r>
        <w:rPr>
          <w:rFonts w:hint="eastAsia" w:ascii="宋体" w:hAnsi="宋体" w:eastAsia="宋体" w:cs="宋体"/>
          <w:color w:val="auto"/>
          <w:sz w:val="21"/>
          <w:szCs w:val="21"/>
          <w:shd w:val="clear" w:color="auto" w:fill="auto"/>
          <w:lang w:val="en-US" w:eastAsia="zh-CN"/>
        </w:rPr>
        <w:t>]中华医学会消化内镜学分会,中国抗癌协会肿瘤内镜专业委员会. 中国早期食管癌筛查及内镜诊治专家共识意见（2014年</w:t>
      </w:r>
      <w:r>
        <w:rPr>
          <w:rFonts w:hint="eastAsia" w:hAnsi="宋体" w:cs="宋体"/>
          <w:color w:val="auto"/>
          <w:sz w:val="21"/>
          <w:szCs w:val="21"/>
          <w:shd w:val="clear" w:color="auto" w:fill="auto"/>
          <w:lang w:val="en-US" w:eastAsia="zh-CN"/>
        </w:rPr>
        <w:t>,</w:t>
      </w:r>
      <w:r>
        <w:rPr>
          <w:rFonts w:hint="eastAsia" w:ascii="宋体" w:hAnsi="宋体" w:eastAsia="宋体" w:cs="宋体"/>
          <w:color w:val="auto"/>
          <w:sz w:val="21"/>
          <w:szCs w:val="21"/>
          <w:shd w:val="clear" w:color="auto" w:fill="auto"/>
          <w:lang w:val="en-US" w:eastAsia="zh-CN"/>
        </w:rPr>
        <w:t>北京）[J].中华消化内镜杂志,2015,32(4):205-224. DOI: 10.3760/cma.j.issn.1007-5232.2015.04.001.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98</w:t>
      </w:r>
      <w:r>
        <w:rPr>
          <w:rFonts w:hint="eastAsia" w:ascii="宋体" w:hAnsi="宋体" w:eastAsia="宋体" w:cs="宋体"/>
          <w:color w:val="auto"/>
          <w:sz w:val="21"/>
          <w:szCs w:val="21"/>
          <w:shd w:val="clear" w:color="auto" w:fill="auto"/>
          <w:lang w:val="en-US" w:eastAsia="zh-CN"/>
        </w:rPr>
        <w:t>]Zhang YM, Boerwinkel DF, He S, et al. Prospective feasibility study on the use of multiband mucosectomy for endoscopic resection of early squamous neoplasia in the esophagus[J]. Endoscopy, 2013,45(3):167-173. DOI: 10.1055/s-0032-1326011.</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w:t>
      </w:r>
      <w:r>
        <w:rPr>
          <w:rFonts w:hint="eastAsia" w:hAnsi="宋体" w:cs="宋体"/>
          <w:color w:val="auto"/>
          <w:sz w:val="21"/>
          <w:szCs w:val="21"/>
          <w:shd w:val="clear" w:color="auto" w:fill="auto"/>
          <w:lang w:val="en-US" w:eastAsia="zh-CN"/>
        </w:rPr>
        <w:t>99</w:t>
      </w:r>
      <w:r>
        <w:rPr>
          <w:rFonts w:hint="eastAsia" w:ascii="宋体" w:hAnsi="宋体" w:eastAsia="宋体" w:cs="宋体"/>
          <w:color w:val="auto"/>
          <w:sz w:val="21"/>
          <w:szCs w:val="21"/>
          <w:shd w:val="clear" w:color="auto" w:fill="auto"/>
          <w:lang w:val="en-US" w:eastAsia="zh-CN"/>
        </w:rPr>
        <w:t>]Zhang YM, Boerwinkel DF, Qin X, et al. A randomized trial comparing multiband mucosectomy and cap-assisted endoscopic resection for endoscopic piecemeal resection of early squamous neoplasia of the esophagus[J]. Endoscopy, 2016,48(4):330-338. DOI: 10.1055/s-0034-1393358.</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w:t>
      </w:r>
      <w:r>
        <w:rPr>
          <w:rFonts w:hint="eastAsia" w:hAnsi="宋体" w:cs="宋体"/>
          <w:color w:val="auto"/>
          <w:sz w:val="21"/>
          <w:szCs w:val="21"/>
          <w:shd w:val="clear" w:color="auto" w:fill="auto"/>
          <w:lang w:val="en-US" w:eastAsia="zh-CN"/>
        </w:rPr>
        <w:t>00</w:t>
      </w:r>
      <w:r>
        <w:rPr>
          <w:rFonts w:hint="eastAsia" w:ascii="宋体" w:hAnsi="宋体" w:eastAsia="宋体" w:cs="宋体"/>
          <w:color w:val="auto"/>
          <w:sz w:val="21"/>
          <w:szCs w:val="21"/>
          <w:shd w:val="clear" w:color="auto" w:fill="auto"/>
          <w:lang w:val="en-US" w:eastAsia="zh-CN"/>
        </w:rPr>
        <w:t xml:space="preserve">]中国消化道疾病内镜下射频消融术临床应用专家共识(2020,上海)[J].中华消化内镜杂志,2020,02:77-78-79-80-81-82. </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firstLine="420"/>
        <w:textAlignment w:val="auto"/>
        <w:rPr>
          <w:rFonts w:hint="default"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[101]F</w:t>
      </w:r>
      <w:r>
        <w:rPr>
          <w:rFonts w:hint="eastAsia" w:hAnsi="宋体" w:cs="宋体"/>
          <w:color w:val="auto"/>
          <w:sz w:val="21"/>
          <w:szCs w:val="21"/>
          <w:shd w:val="clear" w:color="auto" w:fill="auto"/>
          <w:lang w:val="en-US" w:eastAsia="zh-CN"/>
        </w:rPr>
        <w:t>itzgerald</w:t>
      </w:r>
      <w:r>
        <w:rPr>
          <w:rFonts w:hint="eastAsia" w:ascii="宋体" w:hAnsi="宋体" w:eastAsia="宋体" w:cs="宋体"/>
          <w:color w:val="auto"/>
          <w:sz w:val="21"/>
          <w:szCs w:val="21"/>
          <w:shd w:val="clear" w:color="auto" w:fill="auto"/>
          <w:lang w:val="en-US" w:eastAsia="zh-CN"/>
        </w:rPr>
        <w:t xml:space="preserve"> R C,D</w:t>
      </w:r>
      <w:r>
        <w:rPr>
          <w:rFonts w:hint="eastAsia" w:hAnsi="宋体" w:cs="宋体"/>
          <w:color w:val="auto"/>
          <w:sz w:val="21"/>
          <w:szCs w:val="21"/>
          <w:shd w:val="clear" w:color="auto" w:fill="auto"/>
          <w:lang w:val="en-US" w:eastAsia="zh-CN"/>
        </w:rPr>
        <w:t>i</w:t>
      </w:r>
      <w:r>
        <w:rPr>
          <w:rFonts w:hint="eastAsia" w:ascii="宋体" w:hAnsi="宋体" w:eastAsia="宋体" w:cs="宋体"/>
          <w:color w:val="auto"/>
          <w:sz w:val="21"/>
          <w:szCs w:val="21"/>
          <w:shd w:val="clear" w:color="auto" w:fill="auto"/>
          <w:lang w:val="en-US" w:eastAsia="zh-CN"/>
        </w:rPr>
        <w:t xml:space="preserve"> P</w:t>
      </w:r>
      <w:r>
        <w:rPr>
          <w:rFonts w:hint="eastAsia" w:hAnsi="宋体" w:cs="宋体"/>
          <w:color w:val="auto"/>
          <w:sz w:val="21"/>
          <w:szCs w:val="21"/>
          <w:shd w:val="clear" w:color="auto" w:fill="auto"/>
          <w:lang w:val="en-US" w:eastAsia="zh-CN"/>
        </w:rPr>
        <w:t>ietro</w:t>
      </w:r>
      <w:r>
        <w:rPr>
          <w:rFonts w:hint="eastAsia" w:ascii="宋体" w:hAnsi="宋体" w:eastAsia="宋体" w:cs="宋体"/>
          <w:color w:val="auto"/>
          <w:sz w:val="21"/>
          <w:szCs w:val="21"/>
          <w:shd w:val="clear" w:color="auto" w:fill="auto"/>
          <w:lang w:val="en-US" w:eastAsia="zh-CN"/>
        </w:rPr>
        <w:t xml:space="preserve"> M,R</w:t>
      </w:r>
      <w:r>
        <w:rPr>
          <w:rFonts w:hint="eastAsia" w:hAnsi="宋体" w:cs="宋体"/>
          <w:color w:val="auto"/>
          <w:sz w:val="21"/>
          <w:szCs w:val="21"/>
          <w:shd w:val="clear" w:color="auto" w:fill="auto"/>
          <w:lang w:val="en-US" w:eastAsia="zh-CN"/>
        </w:rPr>
        <w:t>agunath</w:t>
      </w:r>
      <w:r>
        <w:rPr>
          <w:rFonts w:hint="eastAsia" w:ascii="宋体" w:hAnsi="宋体" w:eastAsia="宋体" w:cs="宋体"/>
          <w:color w:val="auto"/>
          <w:sz w:val="21"/>
          <w:szCs w:val="21"/>
          <w:shd w:val="clear" w:color="auto" w:fill="auto"/>
          <w:lang w:val="en-US" w:eastAsia="zh-CN"/>
        </w:rPr>
        <w:t xml:space="preserve"> K,et al.British Society of Gastroen</w:t>
      </w:r>
      <w:r>
        <w:rPr>
          <w:rFonts w:hint="eastAsia" w:hAnsi="宋体" w:cs="宋体"/>
          <w:color w:val="auto"/>
          <w:sz w:val="21"/>
          <w:szCs w:val="21"/>
          <w:shd w:val="clear" w:color="auto" w:fill="auto"/>
          <w:lang w:val="en-US" w:eastAsia="zh-CN"/>
        </w:rPr>
        <w:t>-</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eastAsia" w:ascii="宋体" w:hAnsi="宋体" w:eastAsia="宋体" w:cs="宋体"/>
          <w:color w:val="auto"/>
          <w:sz w:val="21"/>
          <w:szCs w:val="21"/>
          <w:shd w:val="clear" w:color="auto" w:fill="auto"/>
          <w:lang w:val="en-US" w:eastAsia="zh-CN"/>
        </w:rPr>
      </w:pPr>
      <w:r>
        <w:rPr>
          <w:rFonts w:hint="eastAsia" w:ascii="宋体" w:hAnsi="宋体" w:eastAsia="宋体" w:cs="宋体"/>
          <w:color w:val="auto"/>
          <w:sz w:val="21"/>
          <w:szCs w:val="21"/>
          <w:shd w:val="clear" w:color="auto" w:fill="auto"/>
          <w:lang w:val="en-US" w:eastAsia="zh-CN"/>
        </w:rPr>
        <w:t>terology guidelines on the diagnosis and management of Barrett's oesophagu s [J].Gut,2014,63(1):7-42.</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[102]</w:t>
      </w:r>
      <w:r>
        <w:rPr>
          <w:rFonts w:hint="eastAsia" w:ascii="宋体" w:hAnsi="宋体" w:eastAsia="宋体" w:cs="宋体"/>
          <w:i w:val="0"/>
          <w:iCs w:val="0"/>
          <w:caps w:val="0"/>
          <w:color w:val="auto"/>
          <w:spacing w:val="0"/>
          <w:sz w:val="21"/>
          <w:szCs w:val="21"/>
          <w:u w:val="none"/>
          <w:shd w:val="clear" w:fill="FFFFFF"/>
        </w:rPr>
        <w:t>刘彦玲.辛开苦降法治疗食管黏膜不典型增生60例临床分析[J].河北中医药学报,2013,02:18-19.</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[103]</w:t>
      </w:r>
      <w:r>
        <w:rPr>
          <w:rFonts w:hint="eastAsia" w:ascii="宋体" w:hAnsi="宋体" w:eastAsia="宋体" w:cs="宋体"/>
          <w:i w:val="0"/>
          <w:iCs w:val="0"/>
          <w:caps w:val="0"/>
          <w:color w:val="auto"/>
          <w:spacing w:val="0"/>
          <w:sz w:val="21"/>
          <w:szCs w:val="21"/>
          <w:u w:val="none"/>
          <w:shd w:val="clear" w:fill="FFFFFF"/>
        </w:rPr>
        <w:t>张东兴,汪翔.清热活血合剂治疗食管黏膜上皮不典型增生29例[J].中国中西医结合消化杂志,2011,01:55-56.</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[104]</w:t>
      </w:r>
      <w:r>
        <w:rPr>
          <w:rFonts w:hint="eastAsia" w:ascii="宋体" w:hAnsi="宋体" w:eastAsia="宋体" w:cs="宋体"/>
          <w:i w:val="0"/>
          <w:iCs w:val="0"/>
          <w:caps w:val="0"/>
          <w:color w:val="auto"/>
          <w:spacing w:val="0"/>
          <w:sz w:val="21"/>
          <w:szCs w:val="21"/>
          <w:u w:val="none"/>
          <w:shd w:val="clear" w:fill="FFFFFF"/>
        </w:rPr>
        <w:t>马凤岐,白钰,陈永灿.陈永灿辨治食管癌前疾病医案3则[J].新中医,2021,24:149-152.</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[105]</w:t>
      </w:r>
      <w:r>
        <w:rPr>
          <w:rFonts w:hint="eastAsia" w:ascii="宋体" w:hAnsi="宋体" w:eastAsia="宋体" w:cs="宋体"/>
          <w:i w:val="0"/>
          <w:iCs w:val="0"/>
          <w:caps w:val="0"/>
          <w:color w:val="auto"/>
          <w:spacing w:val="0"/>
          <w:sz w:val="21"/>
          <w:szCs w:val="21"/>
          <w:u w:val="none"/>
          <w:shd w:val="clear" w:fill="FFFFFF"/>
        </w:rPr>
        <w:t>于洋,颜廷芝,白娜.辛开苦降法治疗食管黏膜不典型增生185例临床研究[J].江苏中医药,2012,02:15-16.</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[106]</w:t>
      </w:r>
      <w:r>
        <w:rPr>
          <w:rFonts w:hint="eastAsia" w:ascii="宋体" w:hAnsi="宋体" w:eastAsia="宋体" w:cs="宋体"/>
          <w:i w:val="0"/>
          <w:iCs w:val="0"/>
          <w:caps w:val="0"/>
          <w:color w:val="auto"/>
          <w:spacing w:val="0"/>
          <w:sz w:val="21"/>
          <w:szCs w:val="21"/>
          <w:u w:val="none"/>
          <w:shd w:val="clear" w:fill="FFFFFF"/>
        </w:rPr>
        <w:t>霍炳杰,徐江红,邢筱华,田君.刘亚娴教授治疗食管癌前病变经验[J].河北中医,2011,04:488-489.</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[107]</w:t>
      </w:r>
      <w:r>
        <w:rPr>
          <w:rFonts w:hint="eastAsia" w:ascii="宋体" w:hAnsi="宋体" w:eastAsia="宋体" w:cs="宋体"/>
          <w:i w:val="0"/>
          <w:iCs w:val="0"/>
          <w:caps w:val="0"/>
          <w:color w:val="auto"/>
          <w:spacing w:val="0"/>
          <w:sz w:val="21"/>
          <w:szCs w:val="21"/>
          <w:u w:val="none"/>
          <w:shd w:val="clear" w:fill="FFFFFF"/>
        </w:rPr>
        <w:t>阳思诗,江潮,邵迎新.参赭培气汤加减治疗食管低级别上皮内瘤变的临床效果[J].中国医药导报,2020,17:165-168.</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[108]</w:t>
      </w:r>
      <w:r>
        <w:rPr>
          <w:rFonts w:hint="eastAsia" w:ascii="宋体" w:hAnsi="宋体" w:eastAsia="宋体" w:cs="宋体"/>
          <w:i w:val="0"/>
          <w:iCs w:val="0"/>
          <w:caps w:val="0"/>
          <w:color w:val="auto"/>
          <w:spacing w:val="0"/>
          <w:sz w:val="21"/>
          <w:szCs w:val="21"/>
          <w:u w:val="none"/>
          <w:shd w:val="clear" w:fill="FFFFFF"/>
        </w:rPr>
        <w:t>侯浚,阎付荣,李绍森,李中元,陈志峰.复方苍豆丸治疗食管癌前病变的临床研究[J].河北中医,1992,04:1-3.</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[109]</w:t>
      </w:r>
      <w:r>
        <w:rPr>
          <w:rFonts w:hint="eastAsia" w:ascii="宋体" w:hAnsi="宋体" w:eastAsia="宋体" w:cs="宋体"/>
          <w:i w:val="0"/>
          <w:iCs w:val="0"/>
          <w:caps w:val="0"/>
          <w:color w:val="auto"/>
          <w:spacing w:val="0"/>
          <w:sz w:val="21"/>
          <w:szCs w:val="21"/>
          <w:u w:val="none"/>
          <w:shd w:val="clear" w:fill="FFFFFF"/>
        </w:rPr>
        <w:t>王俊显,周而复,丁镇伟,王继信,郭黎平.增生平片治疗食管上皮细胞增生108例[J].中国实验方剂学杂志,1997,01:29-31.</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[110]</w:t>
      </w:r>
      <w:r>
        <w:rPr>
          <w:rFonts w:hint="eastAsia" w:ascii="宋体" w:hAnsi="宋体" w:eastAsia="宋体" w:cs="宋体"/>
          <w:i w:val="0"/>
          <w:iCs w:val="0"/>
          <w:caps w:val="0"/>
          <w:color w:val="auto"/>
          <w:spacing w:val="0"/>
          <w:sz w:val="21"/>
          <w:szCs w:val="21"/>
          <w:u w:val="none"/>
          <w:shd w:val="clear" w:fill="FFFFFF"/>
        </w:rPr>
        <w:t>增生平Ⅲ期临床协作组.增生平治疗食管上皮增生的Ⅲ期临床观察[J].中华肿瘤杂志,2000,06:70-72.</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[111]</w:t>
      </w:r>
      <w:r>
        <w:rPr>
          <w:rFonts w:hint="eastAsia" w:ascii="宋体" w:hAnsi="宋体" w:eastAsia="宋体" w:cs="宋体"/>
          <w:i w:val="0"/>
          <w:iCs w:val="0"/>
          <w:caps w:val="0"/>
          <w:color w:val="auto"/>
          <w:spacing w:val="0"/>
          <w:sz w:val="21"/>
          <w:szCs w:val="21"/>
          <w:u w:val="none"/>
          <w:shd w:val="clear" w:fill="FFFFFF"/>
        </w:rPr>
        <w:t>陈志峰,侯浚,林培中,宋国慧,郭翠兰,孟凡书,陈超.增生平阻断食管癌前病变的远期效应[J]. 实用医学杂志,2011,05:866-867.</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rPr>
      </w:pPr>
      <w:r>
        <w:rPr>
          <w:rFonts w:hint="eastAsia" w:ascii="宋体" w:hAnsi="宋体" w:eastAsia="宋体" w:cs="宋体"/>
          <w:color w:val="auto"/>
          <w:sz w:val="21"/>
          <w:szCs w:val="21"/>
          <w:shd w:val="clear" w:color="auto" w:fill="auto"/>
          <w:lang w:val="en-US" w:eastAsia="zh-CN"/>
        </w:rPr>
        <w:t>[112]</w:t>
      </w:r>
      <w:r>
        <w:rPr>
          <w:rFonts w:hint="eastAsia" w:ascii="宋体" w:hAnsi="宋体" w:eastAsia="宋体" w:cs="宋体"/>
          <w:i w:val="0"/>
          <w:iCs w:val="0"/>
          <w:caps w:val="0"/>
          <w:color w:val="auto"/>
          <w:spacing w:val="0"/>
          <w:sz w:val="21"/>
          <w:szCs w:val="21"/>
          <w:u w:val="none"/>
          <w:shd w:val="clear" w:fill="FFFFFF"/>
        </w:rPr>
        <w:t>李佩文.六味地黄丸防止食管上皮重度增生癌变效果的观察(附211例报告)[J].中日友好医院学报,1990,03:170-172.</w:t>
      </w:r>
    </w:p>
    <w:p>
      <w:pPr>
        <w:keepNext w:val="0"/>
        <w:keepLines w:val="0"/>
        <w:pageBreakBefore w:val="0"/>
        <w:kinsoku/>
        <w:wordWrap/>
        <w:overflowPunct/>
        <w:topLinePunct w:val="0"/>
        <w:bidi w:val="0"/>
        <w:adjustRightInd/>
        <w:snapToGrid/>
        <w:spacing w:line="360" w:lineRule="exact"/>
        <w:ind w:firstLine="420" w:firstLineChars="200"/>
        <w:textAlignment w:val="auto"/>
        <w:rPr>
          <w:rFonts w:hint="eastAsia" w:ascii="宋体" w:hAnsi="宋体" w:eastAsia="宋体" w:cs="宋体"/>
          <w:i w:val="0"/>
          <w:iCs w:val="0"/>
          <w:caps w:val="0"/>
          <w:color w:val="auto"/>
          <w:spacing w:val="0"/>
          <w:sz w:val="21"/>
          <w:szCs w:val="21"/>
          <w:u w:val="none"/>
          <w:shd w:val="clear" w:fill="FFFFFF"/>
          <w:lang w:eastAsia="zh-CN"/>
        </w:rPr>
      </w:pPr>
      <w:r>
        <w:rPr>
          <w:rFonts w:hint="eastAsia" w:ascii="宋体" w:hAnsi="宋体" w:eastAsia="宋体" w:cs="宋体"/>
          <w:color w:val="auto"/>
          <w:sz w:val="21"/>
          <w:szCs w:val="21"/>
          <w:shd w:val="clear" w:color="auto" w:fill="auto"/>
          <w:lang w:val="en-US" w:eastAsia="zh-CN"/>
        </w:rPr>
        <w:t>[113]</w:t>
      </w:r>
      <w:r>
        <w:rPr>
          <w:rFonts w:hint="eastAsia" w:ascii="宋体" w:hAnsi="宋体" w:eastAsia="宋体" w:cs="宋体"/>
          <w:i w:val="0"/>
          <w:iCs w:val="0"/>
          <w:caps w:val="0"/>
          <w:color w:val="auto"/>
          <w:spacing w:val="0"/>
          <w:sz w:val="21"/>
          <w:szCs w:val="21"/>
          <w:u w:val="none"/>
          <w:shd w:val="clear" w:fill="FFFFFF"/>
        </w:rPr>
        <w:t>杨景玉,孔令斌.芪莲舒痞颗粒对食管鳞状上皮不典型增生的治疗作用[J].医学信息(中旬刊),2011,07:3258-3259.</w:t>
      </w:r>
    </w:p>
    <w:p>
      <w:pPr>
        <w:pStyle w:val="21"/>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0" w:firstLineChars="0"/>
        <w:textAlignment w:val="auto"/>
        <w:rPr>
          <w:rFonts w:hint="default" w:ascii="宋体" w:hAnsi="宋体" w:eastAsia="宋体" w:cs="宋体"/>
          <w:color w:val="auto"/>
          <w:sz w:val="21"/>
          <w:szCs w:val="21"/>
          <w:shd w:val="clear" w:color="auto" w:fill="auto"/>
          <w:lang w:val="en-US" w:eastAsia="zh-CN"/>
        </w:rPr>
      </w:pPr>
      <w:r>
        <w:rPr>
          <w:rFonts w:hint="eastAsia" w:hAnsi="宋体" w:cs="宋体"/>
          <w:color w:val="auto"/>
          <w:sz w:val="21"/>
          <w:szCs w:val="21"/>
          <w:shd w:val="clear" w:color="auto" w:fill="auto"/>
          <w:lang w:val="en-US" w:eastAsia="zh-CN"/>
        </w:rPr>
        <w:t xml:space="preserve">    </w:t>
      </w:r>
    </w:p>
    <w:sectPr>
      <w:headerReference r:id="rId7" w:type="default"/>
      <w:footerReference r:id="rId8" w:type="default"/>
      <w:pgSz w:w="11906" w:h="16838"/>
      <w:pgMar w:top="1440" w:right="1797" w:bottom="1440" w:left="1797" w:header="851" w:footer="992"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FZXiaoBiaoSong-B05S">
    <w:altName w:val="宋体"/>
    <w:panose1 w:val="00000000000000000000"/>
    <w:charset w:val="86"/>
    <w:family w:val="swiss"/>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Heiti SC Light">
    <w:altName w:val="宋体"/>
    <w:panose1 w:val="00000000000000000000"/>
    <w:charset w:val="86"/>
    <w:family w:val="roman"/>
    <w:pitch w:val="default"/>
    <w:sig w:usb0="00000000" w:usb1="00000000" w:usb2="00000000" w:usb3="00000000" w:csb0="00000000" w:csb1="00000000"/>
  </w:font>
  <w:font w:name="Times">
    <w:altName w:val="Times New Roman"/>
    <w:panose1 w:val="020206030504050203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9" o:spid="_x0000_s2059" o:spt="202" type="#_x0000_t202" style="position:absolute;left:0pt;margin-top:0pt;height:144pt;width:144pt;mso-position-horizontal:righ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r>
      <w:rPr>
        <w:sz w:val="18"/>
      </w:rPr>
      <w:pict>
        <v:shape id="_x0000_s2056" o:spid="_x0000_s2056" o:spt="202" type="#_x0000_t202" style="position:absolute;left:0pt;flip:x;margin-left:416pt;margin-top:7.65pt;height:23.65pt;width:28.55pt;mso-position-horizontal-relative:margin;z-index:251661312;mso-width-relative:page;mso-height-relative:page;" filled="f" stroked="f" coordsize="21600,21600">
          <v:path/>
          <v:fill on="f" focussize="0,0"/>
          <v:stroke on="f"/>
          <v:imagedata o:title=""/>
          <o:lock v:ext="edit" aspectratio="f"/>
          <v:textbox inset="0mm,0mm,0mm,0mm">
            <w:txbxContent>
              <w:p>
                <w:pPr>
                  <w:rPr>
                    <w:rFonts w:hint="eastAsia"/>
                  </w:rPr>
                </w:pPr>
              </w:p>
            </w:txbxContent>
          </v:textbox>
        </v:shape>
      </w:pict>
    </w:r>
    <w:r>
      <w:pict>
        <v:shape id="_x0000_s2051" o:spid="_x0000_s2051"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ascii="宋体" w:hAnsi="宋体" w:eastAsia="宋体" w:cs="宋体"/>
                    <w:lang w:eastAsia="zh-CN"/>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4" o:spid="_x0000_s2054"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１</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11270"/>
      </w:tabs>
      <w:wordWrap w:val="0"/>
      <w:jc w:val="both"/>
      <w:rPr>
        <w:rFonts w:ascii="黑体" w:hAnsi="黑体" w:eastAsia="黑体"/>
        <w:sz w:val="21"/>
        <w:szCs w:val="21"/>
      </w:rPr>
    </w:pPr>
    <w:r>
      <w:rPr>
        <w:rFonts w:ascii="黑体" w:hAnsi="黑体" w:eastAsia="黑体"/>
        <w:sz w:val="21"/>
        <w:szCs w:val="21"/>
      </w:rPr>
      <w:tab/>
    </w:r>
    <w:r>
      <w:rPr>
        <w:rFonts w:ascii="黑体" w:hAnsi="黑体" w:eastAsia="黑体"/>
        <w:sz w:val="21"/>
        <w:szCs w:val="21"/>
      </w:rPr>
      <w:tab/>
    </w:r>
    <w:r>
      <w:rPr>
        <w:rFonts w:ascii="黑体" w:hAnsi="黑体" w:eastAsia="黑体"/>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decimal"/>
      <w:lvlText w:val="（%1）"/>
      <w:lvlJc w:val="left"/>
      <w:pPr>
        <w:tabs>
          <w:tab w:val="left" w:pos="720"/>
        </w:tabs>
        <w:ind w:left="720" w:hanging="720"/>
      </w:pPr>
      <w:rPr>
        <w:rFonts w:hint="default"/>
      </w:rPr>
    </w:lvl>
    <w:lvl w:ilvl="1" w:tentative="0">
      <w:start w:val="1"/>
      <w:numFmt w:val="lowerLetter"/>
      <w:pStyle w:val="40"/>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B65C24"/>
    <w:multiLevelType w:val="singleLevel"/>
    <w:tmpl w:val="0FB65C24"/>
    <w:lvl w:ilvl="0" w:tentative="0">
      <w:start w:val="2"/>
      <w:numFmt w:val="decimal"/>
      <w:suff w:val="nothing"/>
      <w:lvlText w:val="%1）"/>
      <w:lvlJc w:val="left"/>
      <w:rPr>
        <w:rFonts w:hint="default"/>
        <w:color w:val="auto"/>
      </w:rPr>
    </w:lvl>
  </w:abstractNum>
  <w:abstractNum w:abstractNumId="2">
    <w:nsid w:val="1FC91163"/>
    <w:multiLevelType w:val="multilevel"/>
    <w:tmpl w:val="1FC91163"/>
    <w:lvl w:ilvl="0" w:tentative="0">
      <w:start w:val="1"/>
      <w:numFmt w:val="decimal"/>
      <w:pStyle w:val="27"/>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57D3FBC"/>
    <w:multiLevelType w:val="multilevel"/>
    <w:tmpl w:val="657D3FBC"/>
    <w:lvl w:ilvl="0" w:tentative="0">
      <w:start w:val="1"/>
      <w:numFmt w:val="upperLetter"/>
      <w:pStyle w:val="41"/>
      <w:suff w:val="nothing"/>
      <w:lvlText w:val="附　录　%1"/>
      <w:lvlJc w:val="left"/>
      <w:rPr>
        <w:rFonts w:hint="eastAsia" w:ascii="黑体" w:hAnsi="Times New Roman" w:eastAsia="黑体" w:cs="Times New Roman"/>
        <w:b w:val="0"/>
        <w:i w:val="0"/>
        <w:spacing w:val="0"/>
        <w:w w:val="100"/>
        <w:sz w:val="21"/>
      </w:rPr>
    </w:lvl>
    <w:lvl w:ilvl="1" w:tentative="0">
      <w:start w:val="1"/>
      <w:numFmt w:val="decimal"/>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4">
    <w:nsid w:val="6BBC3171"/>
    <w:multiLevelType w:val="singleLevel"/>
    <w:tmpl w:val="6BBC3171"/>
    <w:lvl w:ilvl="0" w:tentative="0">
      <w:start w:val="5"/>
      <w:numFmt w:val="decimal"/>
      <w:suff w:val="nothing"/>
      <w:lvlText w:val="%1）"/>
      <w:lvlJc w:val="left"/>
    </w:lvl>
  </w:abstractNum>
  <w:abstractNum w:abstractNumId="5">
    <w:nsid w:val="6CEA2025"/>
    <w:multiLevelType w:val="multilevel"/>
    <w:tmpl w:val="6CEA2025"/>
    <w:lvl w:ilvl="0" w:tentative="0">
      <w:start w:val="1"/>
      <w:numFmt w:val="none"/>
      <w:pStyle w:val="28"/>
      <w:suff w:val="nothing"/>
      <w:lvlText w:val="%1"/>
      <w:lvlJc w:val="left"/>
      <w:pPr>
        <w:ind w:left="0" w:firstLine="0"/>
      </w:pPr>
      <w:rPr>
        <w:rFonts w:hint="default" w:ascii="Times New Roman" w:hAnsi="Times New Roman"/>
        <w:b/>
        <w:i w:val="0"/>
        <w:sz w:val="21"/>
      </w:rPr>
    </w:lvl>
    <w:lvl w:ilvl="1" w:tentative="0">
      <w:start w:val="1"/>
      <w:numFmt w:val="decimal"/>
      <w:pStyle w:val="20"/>
      <w:suff w:val="nothing"/>
      <w:lvlText w:val="%1%2　"/>
      <w:lvlJc w:val="left"/>
      <w:pPr>
        <w:ind w:left="360" w:firstLine="0"/>
      </w:pPr>
      <w:rPr>
        <w:rFonts w:hint="eastAsia" w:ascii="黑体" w:hAnsi="Times New Roman" w:eastAsia="黑体"/>
        <w:b w:val="0"/>
        <w:i w:val="0"/>
        <w:sz w:val="21"/>
      </w:rPr>
    </w:lvl>
    <w:lvl w:ilvl="2" w:tentative="0">
      <w:start w:val="1"/>
      <w:numFmt w:val="decimal"/>
      <w:pStyle w:val="23"/>
      <w:suff w:val="nothing"/>
      <w:lvlText w:val="%1%2.%3　"/>
      <w:lvlJc w:val="left"/>
      <w:pPr>
        <w:ind w:left="0" w:firstLine="0"/>
      </w:pPr>
      <w:rPr>
        <w:rFonts w:hint="eastAsia" w:ascii="黑体" w:hAnsi="Times New Roman" w:eastAsia="黑体"/>
        <w:b w:val="0"/>
        <w:i w:val="0"/>
        <w:sz w:val="21"/>
      </w:rPr>
    </w:lvl>
    <w:lvl w:ilvl="3" w:tentative="0">
      <w:start w:val="1"/>
      <w:numFmt w:val="decimal"/>
      <w:pStyle w:val="26"/>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54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iMjgwZTU3M2RjNzA0NjE5ZGZiZGJmNWZmYThhM2UifQ=="/>
  </w:docVars>
  <w:rsids>
    <w:rsidRoot w:val="00BC7831"/>
    <w:rsid w:val="00016417"/>
    <w:rsid w:val="00020A60"/>
    <w:rsid w:val="00051519"/>
    <w:rsid w:val="00053659"/>
    <w:rsid w:val="000C29F0"/>
    <w:rsid w:val="000E5326"/>
    <w:rsid w:val="000E59B8"/>
    <w:rsid w:val="000F1177"/>
    <w:rsid w:val="000F3546"/>
    <w:rsid w:val="000F62EE"/>
    <w:rsid w:val="0011064A"/>
    <w:rsid w:val="00116317"/>
    <w:rsid w:val="001314E8"/>
    <w:rsid w:val="00195740"/>
    <w:rsid w:val="00195EBA"/>
    <w:rsid w:val="001E3C63"/>
    <w:rsid w:val="001E3CBE"/>
    <w:rsid w:val="001E3E5A"/>
    <w:rsid w:val="001F0B46"/>
    <w:rsid w:val="001F3057"/>
    <w:rsid w:val="00226F03"/>
    <w:rsid w:val="00232B95"/>
    <w:rsid w:val="002568DB"/>
    <w:rsid w:val="002B529D"/>
    <w:rsid w:val="002D1620"/>
    <w:rsid w:val="0034011E"/>
    <w:rsid w:val="00356A3C"/>
    <w:rsid w:val="00394E21"/>
    <w:rsid w:val="003D0BC2"/>
    <w:rsid w:val="003E0344"/>
    <w:rsid w:val="004122F2"/>
    <w:rsid w:val="00450DF3"/>
    <w:rsid w:val="00467DE9"/>
    <w:rsid w:val="004B284A"/>
    <w:rsid w:val="004C7817"/>
    <w:rsid w:val="00545061"/>
    <w:rsid w:val="0055574E"/>
    <w:rsid w:val="00586FB5"/>
    <w:rsid w:val="005B2CE8"/>
    <w:rsid w:val="005B63FD"/>
    <w:rsid w:val="005C4D5C"/>
    <w:rsid w:val="005E4503"/>
    <w:rsid w:val="005F249D"/>
    <w:rsid w:val="005F72FB"/>
    <w:rsid w:val="00630BC6"/>
    <w:rsid w:val="006368C2"/>
    <w:rsid w:val="00670459"/>
    <w:rsid w:val="00673E36"/>
    <w:rsid w:val="00692122"/>
    <w:rsid w:val="00692CC5"/>
    <w:rsid w:val="006B42F8"/>
    <w:rsid w:val="006E4104"/>
    <w:rsid w:val="006E78C3"/>
    <w:rsid w:val="007515CA"/>
    <w:rsid w:val="007558D6"/>
    <w:rsid w:val="00782113"/>
    <w:rsid w:val="007A732B"/>
    <w:rsid w:val="007B537B"/>
    <w:rsid w:val="00826483"/>
    <w:rsid w:val="008316B0"/>
    <w:rsid w:val="008806E9"/>
    <w:rsid w:val="00931243"/>
    <w:rsid w:val="00932544"/>
    <w:rsid w:val="009349A5"/>
    <w:rsid w:val="0094566C"/>
    <w:rsid w:val="009805F4"/>
    <w:rsid w:val="009807BE"/>
    <w:rsid w:val="00984ED3"/>
    <w:rsid w:val="009B49C2"/>
    <w:rsid w:val="009C6235"/>
    <w:rsid w:val="00A27D96"/>
    <w:rsid w:val="00A31BC4"/>
    <w:rsid w:val="00A832A1"/>
    <w:rsid w:val="00AB3E24"/>
    <w:rsid w:val="00AD0A8A"/>
    <w:rsid w:val="00B06BA7"/>
    <w:rsid w:val="00B13BD4"/>
    <w:rsid w:val="00B530B7"/>
    <w:rsid w:val="00B5365B"/>
    <w:rsid w:val="00B54804"/>
    <w:rsid w:val="00B71477"/>
    <w:rsid w:val="00B83669"/>
    <w:rsid w:val="00BC7831"/>
    <w:rsid w:val="00C553DB"/>
    <w:rsid w:val="00C82576"/>
    <w:rsid w:val="00CD1788"/>
    <w:rsid w:val="00CD5C28"/>
    <w:rsid w:val="00D457E6"/>
    <w:rsid w:val="00D52B96"/>
    <w:rsid w:val="00D62642"/>
    <w:rsid w:val="00D70986"/>
    <w:rsid w:val="00D92C00"/>
    <w:rsid w:val="00DA744C"/>
    <w:rsid w:val="00DE1D6D"/>
    <w:rsid w:val="00E60530"/>
    <w:rsid w:val="00E6741A"/>
    <w:rsid w:val="00E82819"/>
    <w:rsid w:val="00E85F76"/>
    <w:rsid w:val="00EA3A4D"/>
    <w:rsid w:val="00F024E8"/>
    <w:rsid w:val="00F10A24"/>
    <w:rsid w:val="00F51C34"/>
    <w:rsid w:val="00F948F3"/>
    <w:rsid w:val="01853E11"/>
    <w:rsid w:val="01D803E5"/>
    <w:rsid w:val="02060893"/>
    <w:rsid w:val="02076F1C"/>
    <w:rsid w:val="024920A8"/>
    <w:rsid w:val="025D021C"/>
    <w:rsid w:val="027C5493"/>
    <w:rsid w:val="02810A7C"/>
    <w:rsid w:val="032E4779"/>
    <w:rsid w:val="03344DBC"/>
    <w:rsid w:val="03637A6E"/>
    <w:rsid w:val="03675EC4"/>
    <w:rsid w:val="042F62B6"/>
    <w:rsid w:val="047A29A4"/>
    <w:rsid w:val="048F5607"/>
    <w:rsid w:val="04DA4474"/>
    <w:rsid w:val="053F077B"/>
    <w:rsid w:val="05957D8B"/>
    <w:rsid w:val="05B922DB"/>
    <w:rsid w:val="05C55124"/>
    <w:rsid w:val="06632601"/>
    <w:rsid w:val="066A577B"/>
    <w:rsid w:val="071A149F"/>
    <w:rsid w:val="0753050D"/>
    <w:rsid w:val="07C479D8"/>
    <w:rsid w:val="086E2D3F"/>
    <w:rsid w:val="08D3679C"/>
    <w:rsid w:val="0909740F"/>
    <w:rsid w:val="09364133"/>
    <w:rsid w:val="09440A55"/>
    <w:rsid w:val="09C058B6"/>
    <w:rsid w:val="0A136075"/>
    <w:rsid w:val="0A75636B"/>
    <w:rsid w:val="0AE37AB5"/>
    <w:rsid w:val="0AF14317"/>
    <w:rsid w:val="0B2D4A09"/>
    <w:rsid w:val="0B9827A2"/>
    <w:rsid w:val="0BAB5A86"/>
    <w:rsid w:val="0BC36884"/>
    <w:rsid w:val="0CA84E57"/>
    <w:rsid w:val="0CCC1F98"/>
    <w:rsid w:val="0D132C19"/>
    <w:rsid w:val="0D4B4CD3"/>
    <w:rsid w:val="0D932AA7"/>
    <w:rsid w:val="0DC72DDA"/>
    <w:rsid w:val="0DF67099"/>
    <w:rsid w:val="0E202E42"/>
    <w:rsid w:val="0E3B24FA"/>
    <w:rsid w:val="0E590AFF"/>
    <w:rsid w:val="0E967D6D"/>
    <w:rsid w:val="0EB126E9"/>
    <w:rsid w:val="0EC73095"/>
    <w:rsid w:val="0ED65CAC"/>
    <w:rsid w:val="0EF95E3E"/>
    <w:rsid w:val="0EFA4090"/>
    <w:rsid w:val="0F493785"/>
    <w:rsid w:val="0F5B2655"/>
    <w:rsid w:val="0F671EB0"/>
    <w:rsid w:val="0F847DFE"/>
    <w:rsid w:val="0F890F70"/>
    <w:rsid w:val="0FDE128A"/>
    <w:rsid w:val="103233B6"/>
    <w:rsid w:val="104B6CB5"/>
    <w:rsid w:val="104F3F68"/>
    <w:rsid w:val="1106273E"/>
    <w:rsid w:val="110A1967"/>
    <w:rsid w:val="114B319D"/>
    <w:rsid w:val="11E959DE"/>
    <w:rsid w:val="11FB4533"/>
    <w:rsid w:val="122431D2"/>
    <w:rsid w:val="124949E7"/>
    <w:rsid w:val="12696E37"/>
    <w:rsid w:val="1279031E"/>
    <w:rsid w:val="12C14EC5"/>
    <w:rsid w:val="12C620F3"/>
    <w:rsid w:val="134578A4"/>
    <w:rsid w:val="13985C26"/>
    <w:rsid w:val="13B85985"/>
    <w:rsid w:val="140B63F8"/>
    <w:rsid w:val="14290F74"/>
    <w:rsid w:val="14A20FEC"/>
    <w:rsid w:val="14AF1479"/>
    <w:rsid w:val="14C25FA4"/>
    <w:rsid w:val="14D31521"/>
    <w:rsid w:val="15267261"/>
    <w:rsid w:val="15321091"/>
    <w:rsid w:val="15662808"/>
    <w:rsid w:val="15B91796"/>
    <w:rsid w:val="16E42F30"/>
    <w:rsid w:val="17032091"/>
    <w:rsid w:val="17103D25"/>
    <w:rsid w:val="171A4BA4"/>
    <w:rsid w:val="174857D0"/>
    <w:rsid w:val="175B64BA"/>
    <w:rsid w:val="1769787D"/>
    <w:rsid w:val="17B51B13"/>
    <w:rsid w:val="181A0A1C"/>
    <w:rsid w:val="18324BFA"/>
    <w:rsid w:val="188D7D95"/>
    <w:rsid w:val="18B52DD6"/>
    <w:rsid w:val="18B84674"/>
    <w:rsid w:val="18D93032"/>
    <w:rsid w:val="18E502A2"/>
    <w:rsid w:val="18FB2547"/>
    <w:rsid w:val="19380160"/>
    <w:rsid w:val="19CC73DD"/>
    <w:rsid w:val="19DF5027"/>
    <w:rsid w:val="1A8938D7"/>
    <w:rsid w:val="1AB5530F"/>
    <w:rsid w:val="1ACB4B33"/>
    <w:rsid w:val="1ADC25F4"/>
    <w:rsid w:val="1B303B76"/>
    <w:rsid w:val="1B8A22F8"/>
    <w:rsid w:val="1C2261D4"/>
    <w:rsid w:val="1C4A3F51"/>
    <w:rsid w:val="1C536D4C"/>
    <w:rsid w:val="1CCB706C"/>
    <w:rsid w:val="1CD15608"/>
    <w:rsid w:val="1D071D2B"/>
    <w:rsid w:val="1D2349E9"/>
    <w:rsid w:val="1D572175"/>
    <w:rsid w:val="1D5A03F0"/>
    <w:rsid w:val="1D762D57"/>
    <w:rsid w:val="1D8E431C"/>
    <w:rsid w:val="1DB35FB6"/>
    <w:rsid w:val="1DD07CA6"/>
    <w:rsid w:val="1E004AF3"/>
    <w:rsid w:val="1E6908EA"/>
    <w:rsid w:val="1E7278AB"/>
    <w:rsid w:val="1EAC07D7"/>
    <w:rsid w:val="1EC57FDD"/>
    <w:rsid w:val="1EE11F10"/>
    <w:rsid w:val="1F265540"/>
    <w:rsid w:val="1F807D7F"/>
    <w:rsid w:val="1FB53A00"/>
    <w:rsid w:val="1FC43C82"/>
    <w:rsid w:val="1FD47FE6"/>
    <w:rsid w:val="202820DF"/>
    <w:rsid w:val="204A02A8"/>
    <w:rsid w:val="20CF69FF"/>
    <w:rsid w:val="2108534E"/>
    <w:rsid w:val="210A7A37"/>
    <w:rsid w:val="211A3258"/>
    <w:rsid w:val="211F7986"/>
    <w:rsid w:val="215A46FD"/>
    <w:rsid w:val="217952E8"/>
    <w:rsid w:val="219903A8"/>
    <w:rsid w:val="21FA3A29"/>
    <w:rsid w:val="224F4B71"/>
    <w:rsid w:val="231921B3"/>
    <w:rsid w:val="2342170A"/>
    <w:rsid w:val="23476540"/>
    <w:rsid w:val="237F1BF5"/>
    <w:rsid w:val="238F04F9"/>
    <w:rsid w:val="23BF563A"/>
    <w:rsid w:val="23E80503"/>
    <w:rsid w:val="240410E5"/>
    <w:rsid w:val="24155071"/>
    <w:rsid w:val="244F0991"/>
    <w:rsid w:val="24652360"/>
    <w:rsid w:val="24792CD7"/>
    <w:rsid w:val="25276E09"/>
    <w:rsid w:val="25AD758F"/>
    <w:rsid w:val="261C26E6"/>
    <w:rsid w:val="2690490B"/>
    <w:rsid w:val="26B80661"/>
    <w:rsid w:val="26E31456"/>
    <w:rsid w:val="2762736A"/>
    <w:rsid w:val="282C4B17"/>
    <w:rsid w:val="285C326E"/>
    <w:rsid w:val="2871605B"/>
    <w:rsid w:val="2886799E"/>
    <w:rsid w:val="28F17E5A"/>
    <w:rsid w:val="2909376E"/>
    <w:rsid w:val="29842A7C"/>
    <w:rsid w:val="29DC0F83"/>
    <w:rsid w:val="29F545C8"/>
    <w:rsid w:val="2B006FD5"/>
    <w:rsid w:val="2B042718"/>
    <w:rsid w:val="2B45448D"/>
    <w:rsid w:val="2B95203C"/>
    <w:rsid w:val="2BA20995"/>
    <w:rsid w:val="2BB84C5F"/>
    <w:rsid w:val="2C4A411F"/>
    <w:rsid w:val="2C55425C"/>
    <w:rsid w:val="2C8A7021"/>
    <w:rsid w:val="2CAF69E0"/>
    <w:rsid w:val="2CC77ACA"/>
    <w:rsid w:val="2D0363AE"/>
    <w:rsid w:val="2D042986"/>
    <w:rsid w:val="2D7352E2"/>
    <w:rsid w:val="2D813A18"/>
    <w:rsid w:val="2DC276D0"/>
    <w:rsid w:val="2DCE4EA6"/>
    <w:rsid w:val="2DCF44E2"/>
    <w:rsid w:val="2E247D3F"/>
    <w:rsid w:val="2E535247"/>
    <w:rsid w:val="2E614F0F"/>
    <w:rsid w:val="2E9848CB"/>
    <w:rsid w:val="2F3156F2"/>
    <w:rsid w:val="2FCA2C8F"/>
    <w:rsid w:val="2FD458C8"/>
    <w:rsid w:val="300D59CF"/>
    <w:rsid w:val="30201025"/>
    <w:rsid w:val="30234671"/>
    <w:rsid w:val="307E3121"/>
    <w:rsid w:val="30877777"/>
    <w:rsid w:val="308B1F0C"/>
    <w:rsid w:val="309E231D"/>
    <w:rsid w:val="30C7080A"/>
    <w:rsid w:val="30E87D95"/>
    <w:rsid w:val="31616DD0"/>
    <w:rsid w:val="319E39F4"/>
    <w:rsid w:val="31B76266"/>
    <w:rsid w:val="31CF77C2"/>
    <w:rsid w:val="325E415F"/>
    <w:rsid w:val="332B3F69"/>
    <w:rsid w:val="340C1D66"/>
    <w:rsid w:val="34D562B3"/>
    <w:rsid w:val="35213875"/>
    <w:rsid w:val="352D297C"/>
    <w:rsid w:val="3536142C"/>
    <w:rsid w:val="354D6418"/>
    <w:rsid w:val="35B12CDA"/>
    <w:rsid w:val="35C44201"/>
    <w:rsid w:val="35E11256"/>
    <w:rsid w:val="35F9034E"/>
    <w:rsid w:val="363475D8"/>
    <w:rsid w:val="364F61C0"/>
    <w:rsid w:val="366003CD"/>
    <w:rsid w:val="36813475"/>
    <w:rsid w:val="36C31BFB"/>
    <w:rsid w:val="36F46FE8"/>
    <w:rsid w:val="37187DC5"/>
    <w:rsid w:val="37425D25"/>
    <w:rsid w:val="377E6673"/>
    <w:rsid w:val="387A47B6"/>
    <w:rsid w:val="388008B3"/>
    <w:rsid w:val="38AA5930"/>
    <w:rsid w:val="38EF6DE0"/>
    <w:rsid w:val="39226601"/>
    <w:rsid w:val="39256126"/>
    <w:rsid w:val="392A1E1B"/>
    <w:rsid w:val="393F3D68"/>
    <w:rsid w:val="396226AE"/>
    <w:rsid w:val="398C7E3F"/>
    <w:rsid w:val="39936430"/>
    <w:rsid w:val="39C719D2"/>
    <w:rsid w:val="39F07CBA"/>
    <w:rsid w:val="3A043F92"/>
    <w:rsid w:val="3A5D16E9"/>
    <w:rsid w:val="3A751F6D"/>
    <w:rsid w:val="3A8A0C8C"/>
    <w:rsid w:val="3AA06EC0"/>
    <w:rsid w:val="3B834387"/>
    <w:rsid w:val="3B93682F"/>
    <w:rsid w:val="3C1E089F"/>
    <w:rsid w:val="3C9A086E"/>
    <w:rsid w:val="3CC05722"/>
    <w:rsid w:val="3CDA1000"/>
    <w:rsid w:val="3D28316D"/>
    <w:rsid w:val="3D485717"/>
    <w:rsid w:val="3D775735"/>
    <w:rsid w:val="3DBC1D62"/>
    <w:rsid w:val="3DC1513D"/>
    <w:rsid w:val="3DFF3F65"/>
    <w:rsid w:val="3E2921A9"/>
    <w:rsid w:val="3E53501D"/>
    <w:rsid w:val="3EB37241"/>
    <w:rsid w:val="3EEA17DF"/>
    <w:rsid w:val="3F7F7B16"/>
    <w:rsid w:val="3FA65586"/>
    <w:rsid w:val="40181D19"/>
    <w:rsid w:val="402A0016"/>
    <w:rsid w:val="40447056"/>
    <w:rsid w:val="40696869"/>
    <w:rsid w:val="40A62E5A"/>
    <w:rsid w:val="4125649B"/>
    <w:rsid w:val="416B598D"/>
    <w:rsid w:val="41735E73"/>
    <w:rsid w:val="41E72569"/>
    <w:rsid w:val="42755200"/>
    <w:rsid w:val="42795492"/>
    <w:rsid w:val="42C35F6C"/>
    <w:rsid w:val="43087FD9"/>
    <w:rsid w:val="438E7349"/>
    <w:rsid w:val="440C4466"/>
    <w:rsid w:val="455410FD"/>
    <w:rsid w:val="45633A36"/>
    <w:rsid w:val="456F4A8E"/>
    <w:rsid w:val="45A87FE0"/>
    <w:rsid w:val="45F11042"/>
    <w:rsid w:val="460B0DFB"/>
    <w:rsid w:val="465F41FD"/>
    <w:rsid w:val="468974CC"/>
    <w:rsid w:val="46B02CAB"/>
    <w:rsid w:val="46F442C1"/>
    <w:rsid w:val="474D04FA"/>
    <w:rsid w:val="47DE73A4"/>
    <w:rsid w:val="485853A8"/>
    <w:rsid w:val="48867CC9"/>
    <w:rsid w:val="48EB5033"/>
    <w:rsid w:val="498C2889"/>
    <w:rsid w:val="49985846"/>
    <w:rsid w:val="49CF135D"/>
    <w:rsid w:val="4A5E47CC"/>
    <w:rsid w:val="4A6B6622"/>
    <w:rsid w:val="4B4D3F3B"/>
    <w:rsid w:val="4B846BC3"/>
    <w:rsid w:val="4BFC7885"/>
    <w:rsid w:val="4C111041"/>
    <w:rsid w:val="4CF764AB"/>
    <w:rsid w:val="4D34164C"/>
    <w:rsid w:val="4D5B0EC1"/>
    <w:rsid w:val="4D726A17"/>
    <w:rsid w:val="4D88375A"/>
    <w:rsid w:val="4DC56FFA"/>
    <w:rsid w:val="4DDF7C5F"/>
    <w:rsid w:val="4E0833CC"/>
    <w:rsid w:val="4E34226C"/>
    <w:rsid w:val="4F543795"/>
    <w:rsid w:val="4FB074FE"/>
    <w:rsid w:val="4FDE2637"/>
    <w:rsid w:val="4FFB6CDF"/>
    <w:rsid w:val="50342257"/>
    <w:rsid w:val="50453123"/>
    <w:rsid w:val="506F7733"/>
    <w:rsid w:val="50943A72"/>
    <w:rsid w:val="50DD16C7"/>
    <w:rsid w:val="51181B78"/>
    <w:rsid w:val="512551D7"/>
    <w:rsid w:val="51263C57"/>
    <w:rsid w:val="512F520F"/>
    <w:rsid w:val="513A1AEF"/>
    <w:rsid w:val="517F7502"/>
    <w:rsid w:val="51917235"/>
    <w:rsid w:val="51CC64BF"/>
    <w:rsid w:val="51F726BC"/>
    <w:rsid w:val="5201085F"/>
    <w:rsid w:val="52920CF5"/>
    <w:rsid w:val="52926670"/>
    <w:rsid w:val="52F20775"/>
    <w:rsid w:val="53394028"/>
    <w:rsid w:val="53AF2474"/>
    <w:rsid w:val="53CB1124"/>
    <w:rsid w:val="548951F2"/>
    <w:rsid w:val="551B27B0"/>
    <w:rsid w:val="55AE2AAB"/>
    <w:rsid w:val="55BA6E3F"/>
    <w:rsid w:val="55E77D6B"/>
    <w:rsid w:val="56835CE6"/>
    <w:rsid w:val="5685035F"/>
    <w:rsid w:val="569236C9"/>
    <w:rsid w:val="56A07A8A"/>
    <w:rsid w:val="56FE4A6C"/>
    <w:rsid w:val="578D5E56"/>
    <w:rsid w:val="57E26A3C"/>
    <w:rsid w:val="58007732"/>
    <w:rsid w:val="59271254"/>
    <w:rsid w:val="59297A72"/>
    <w:rsid w:val="595C661A"/>
    <w:rsid w:val="59D734D0"/>
    <w:rsid w:val="5A307F33"/>
    <w:rsid w:val="5A6257B6"/>
    <w:rsid w:val="5A89319F"/>
    <w:rsid w:val="5AAB580B"/>
    <w:rsid w:val="5AE1122D"/>
    <w:rsid w:val="5AED51AF"/>
    <w:rsid w:val="5B0A0784"/>
    <w:rsid w:val="5B8E71FB"/>
    <w:rsid w:val="5BA14357"/>
    <w:rsid w:val="5BD14DFE"/>
    <w:rsid w:val="5C292E8C"/>
    <w:rsid w:val="5C376E95"/>
    <w:rsid w:val="5C3C1C8A"/>
    <w:rsid w:val="5C453BE3"/>
    <w:rsid w:val="5C6D4AA9"/>
    <w:rsid w:val="5D611A4F"/>
    <w:rsid w:val="5D722610"/>
    <w:rsid w:val="5D8660BC"/>
    <w:rsid w:val="5D870E20"/>
    <w:rsid w:val="5DAD0BA7"/>
    <w:rsid w:val="5EA42C9D"/>
    <w:rsid w:val="5EC10D98"/>
    <w:rsid w:val="5ED370DF"/>
    <w:rsid w:val="5F0813F1"/>
    <w:rsid w:val="5F8B131F"/>
    <w:rsid w:val="5F9C5723"/>
    <w:rsid w:val="5FDB0D64"/>
    <w:rsid w:val="5FE22548"/>
    <w:rsid w:val="600F05EB"/>
    <w:rsid w:val="604417D2"/>
    <w:rsid w:val="604638DA"/>
    <w:rsid w:val="605A16DE"/>
    <w:rsid w:val="606C77EB"/>
    <w:rsid w:val="60906B6F"/>
    <w:rsid w:val="60EC2A0D"/>
    <w:rsid w:val="614F3EC3"/>
    <w:rsid w:val="615269E1"/>
    <w:rsid w:val="61DA69D6"/>
    <w:rsid w:val="61DF2B21"/>
    <w:rsid w:val="61DF701A"/>
    <w:rsid w:val="61F332C8"/>
    <w:rsid w:val="620D2908"/>
    <w:rsid w:val="6287090C"/>
    <w:rsid w:val="62D428CC"/>
    <w:rsid w:val="62DD22DA"/>
    <w:rsid w:val="63214F3E"/>
    <w:rsid w:val="637D7AF5"/>
    <w:rsid w:val="63AA62BD"/>
    <w:rsid w:val="63BF5E84"/>
    <w:rsid w:val="64085A7D"/>
    <w:rsid w:val="64534F47"/>
    <w:rsid w:val="64963088"/>
    <w:rsid w:val="64FC079E"/>
    <w:rsid w:val="64FF0C2E"/>
    <w:rsid w:val="6525440C"/>
    <w:rsid w:val="65467BB2"/>
    <w:rsid w:val="654F784E"/>
    <w:rsid w:val="659D051E"/>
    <w:rsid w:val="65FF4C5D"/>
    <w:rsid w:val="661215DB"/>
    <w:rsid w:val="66521E80"/>
    <w:rsid w:val="6683763C"/>
    <w:rsid w:val="66EA7988"/>
    <w:rsid w:val="67587475"/>
    <w:rsid w:val="67B57CC9"/>
    <w:rsid w:val="68324E76"/>
    <w:rsid w:val="688D6DD8"/>
    <w:rsid w:val="695E1C9B"/>
    <w:rsid w:val="69FF2638"/>
    <w:rsid w:val="6A4B66C3"/>
    <w:rsid w:val="6B510799"/>
    <w:rsid w:val="6B7D0AFE"/>
    <w:rsid w:val="6B953BE5"/>
    <w:rsid w:val="6BA51ECA"/>
    <w:rsid w:val="6C4710F9"/>
    <w:rsid w:val="6C542E6F"/>
    <w:rsid w:val="6CEC7364"/>
    <w:rsid w:val="6D321435"/>
    <w:rsid w:val="6D7B72BF"/>
    <w:rsid w:val="6E3000AA"/>
    <w:rsid w:val="6E34121C"/>
    <w:rsid w:val="6E533670"/>
    <w:rsid w:val="6ED85C55"/>
    <w:rsid w:val="6F0A179E"/>
    <w:rsid w:val="6F342995"/>
    <w:rsid w:val="6F7554F7"/>
    <w:rsid w:val="70360878"/>
    <w:rsid w:val="706C7393"/>
    <w:rsid w:val="70963EEA"/>
    <w:rsid w:val="7122008C"/>
    <w:rsid w:val="713F0604"/>
    <w:rsid w:val="71453E6C"/>
    <w:rsid w:val="71A252FC"/>
    <w:rsid w:val="71A777AD"/>
    <w:rsid w:val="71EE19EB"/>
    <w:rsid w:val="71F62827"/>
    <w:rsid w:val="721C2CE3"/>
    <w:rsid w:val="722D66AE"/>
    <w:rsid w:val="724E3E1F"/>
    <w:rsid w:val="72D07765"/>
    <w:rsid w:val="72E72452"/>
    <w:rsid w:val="7321722D"/>
    <w:rsid w:val="73506FE8"/>
    <w:rsid w:val="735E3F98"/>
    <w:rsid w:val="73C60B68"/>
    <w:rsid w:val="74253AE1"/>
    <w:rsid w:val="744047AB"/>
    <w:rsid w:val="745E1844"/>
    <w:rsid w:val="7494340B"/>
    <w:rsid w:val="74CB28DA"/>
    <w:rsid w:val="7592164A"/>
    <w:rsid w:val="75D805C1"/>
    <w:rsid w:val="762824BB"/>
    <w:rsid w:val="764757C0"/>
    <w:rsid w:val="76F8379A"/>
    <w:rsid w:val="772938E8"/>
    <w:rsid w:val="773547FB"/>
    <w:rsid w:val="77B27D81"/>
    <w:rsid w:val="784F3822"/>
    <w:rsid w:val="790536CB"/>
    <w:rsid w:val="796601EB"/>
    <w:rsid w:val="79B65F08"/>
    <w:rsid w:val="79CC2111"/>
    <w:rsid w:val="7A2518E9"/>
    <w:rsid w:val="7A320D06"/>
    <w:rsid w:val="7A557912"/>
    <w:rsid w:val="7A7924A2"/>
    <w:rsid w:val="7AE77D42"/>
    <w:rsid w:val="7B454A69"/>
    <w:rsid w:val="7B8475E5"/>
    <w:rsid w:val="7B9718B5"/>
    <w:rsid w:val="7BD42987"/>
    <w:rsid w:val="7BDC4A63"/>
    <w:rsid w:val="7C0B786A"/>
    <w:rsid w:val="7C2823C0"/>
    <w:rsid w:val="7C3B472B"/>
    <w:rsid w:val="7C413482"/>
    <w:rsid w:val="7C4E73CB"/>
    <w:rsid w:val="7CAA1027"/>
    <w:rsid w:val="7CF36E72"/>
    <w:rsid w:val="7D1F2806"/>
    <w:rsid w:val="7D316CED"/>
    <w:rsid w:val="7D697523"/>
    <w:rsid w:val="7DA373B9"/>
    <w:rsid w:val="7DFC1D56"/>
    <w:rsid w:val="7E5356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纯文本1"/>
    <w:basedOn w:val="1"/>
    <w:qFormat/>
    <w:uiPriority w:val="0"/>
    <w:rPr>
      <w:rFonts w:ascii="宋体"/>
    </w:rPr>
  </w:style>
  <w:style w:type="paragraph" w:styleId="5">
    <w:name w:val="annotation text"/>
    <w:basedOn w:val="1"/>
    <w:semiHidden/>
    <w:unhideWhenUsed/>
    <w:qFormat/>
    <w:uiPriority w:val="99"/>
    <w:pPr>
      <w:jc w:val="left"/>
    </w:pPr>
  </w:style>
  <w:style w:type="paragraph" w:styleId="6">
    <w:name w:val="Body Text 3"/>
    <w:basedOn w:val="1"/>
    <w:link w:val="18"/>
    <w:qFormat/>
    <w:uiPriority w:val="0"/>
    <w:pPr>
      <w:widowControl/>
    </w:pPr>
    <w:rPr>
      <w:rFonts w:ascii="Times New Roman" w:hAnsi="Times New Roman" w:eastAsia="仿宋_GB2312" w:cs="Times New Roman"/>
      <w:kern w:val="0"/>
      <w:sz w:val="28"/>
      <w:szCs w:val="20"/>
    </w:rPr>
  </w:style>
  <w:style w:type="paragraph" w:styleId="7">
    <w:name w:val="Balloon Text"/>
    <w:basedOn w:val="1"/>
    <w:link w:val="34"/>
    <w:semiHidden/>
    <w:unhideWhenUsed/>
    <w:qFormat/>
    <w:uiPriority w:val="99"/>
    <w:rPr>
      <w:sz w:val="18"/>
      <w:szCs w:val="18"/>
    </w:rPr>
  </w:style>
  <w:style w:type="paragraph" w:styleId="8">
    <w:name w:val="footer"/>
    <w:basedOn w:val="1"/>
    <w:link w:val="31"/>
    <w:unhideWhenUsed/>
    <w:qFormat/>
    <w:uiPriority w:val="99"/>
    <w:pPr>
      <w:tabs>
        <w:tab w:val="center" w:pos="4153"/>
        <w:tab w:val="right" w:pos="8306"/>
      </w:tabs>
      <w:snapToGrid w:val="0"/>
      <w:jc w:val="left"/>
    </w:pPr>
    <w:rPr>
      <w:sz w:val="18"/>
      <w:szCs w:val="18"/>
    </w:rPr>
  </w:style>
  <w:style w:type="paragraph" w:styleId="9">
    <w:name w:val="header"/>
    <w:basedOn w:val="1"/>
    <w:link w:val="30"/>
    <w:qFormat/>
    <w:uiPriority w:val="99"/>
    <w:pPr>
      <w:tabs>
        <w:tab w:val="center" w:pos="4153"/>
        <w:tab w:val="right" w:pos="8306"/>
      </w:tabs>
      <w:snapToGrid w:val="0"/>
      <w:jc w:val="center"/>
    </w:pPr>
    <w:rPr>
      <w:rFonts w:ascii="Times New Roman" w:hAnsi="Times New Roman" w:eastAsia="宋体" w:cs="Times New Roman"/>
      <w:sz w:val="18"/>
      <w:szCs w:val="18"/>
    </w:rPr>
  </w:style>
  <w:style w:type="paragraph" w:styleId="10">
    <w:name w:val="toc 1"/>
    <w:next w:val="1"/>
    <w:qFormat/>
    <w:uiPriority w:val="39"/>
    <w:pPr>
      <w:widowControl w:val="0"/>
      <w:spacing w:before="240" w:after="120"/>
    </w:pPr>
    <w:rPr>
      <w:rFonts w:ascii="等线" w:hAnsi="Times New Roman" w:eastAsia="等线" w:cs="Times New Roman"/>
      <w:b/>
      <w:bCs/>
      <w:kern w:val="2"/>
      <w:lang w:val="en-US" w:eastAsia="zh-CN" w:bidi="ar-SA"/>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styleId="17">
    <w:name w:val="annotation reference"/>
    <w:basedOn w:val="14"/>
    <w:semiHidden/>
    <w:unhideWhenUsed/>
    <w:qFormat/>
    <w:uiPriority w:val="99"/>
    <w:rPr>
      <w:sz w:val="21"/>
      <w:szCs w:val="21"/>
    </w:rPr>
  </w:style>
  <w:style w:type="character" w:customStyle="1" w:styleId="18">
    <w:name w:val="正文文本 3 Char"/>
    <w:basedOn w:val="14"/>
    <w:link w:val="6"/>
    <w:qFormat/>
    <w:uiPriority w:val="0"/>
    <w:rPr>
      <w:rFonts w:ascii="Times New Roman" w:hAnsi="Times New Roman" w:eastAsia="仿宋_GB2312" w:cs="Times New Roman"/>
      <w:kern w:val="0"/>
      <w:sz w:val="28"/>
      <w:szCs w:val="20"/>
    </w:rPr>
  </w:style>
  <w:style w:type="character" w:customStyle="1" w:styleId="19">
    <w:name w:val="章标题 Char"/>
    <w:link w:val="20"/>
    <w:qFormat/>
    <w:uiPriority w:val="0"/>
    <w:rPr>
      <w:rFonts w:ascii="黑体" w:eastAsia="黑体"/>
    </w:rPr>
  </w:style>
  <w:style w:type="paragraph" w:customStyle="1" w:styleId="20">
    <w:name w:val="章标题"/>
    <w:next w:val="21"/>
    <w:link w:val="19"/>
    <w:qFormat/>
    <w:uiPriority w:val="0"/>
    <w:pPr>
      <w:numPr>
        <w:ilvl w:val="1"/>
        <w:numId w:val="1"/>
      </w:numPr>
      <w:spacing w:beforeLines="50" w:afterLines="50"/>
      <w:jc w:val="both"/>
      <w:outlineLvl w:val="1"/>
    </w:pPr>
    <w:rPr>
      <w:rFonts w:ascii="黑体" w:eastAsia="黑体" w:hAnsiTheme="minorHAnsi" w:cstheme="minorBidi"/>
      <w:kern w:val="2"/>
      <w:sz w:val="21"/>
      <w:szCs w:val="22"/>
      <w:lang w:val="en-US" w:eastAsia="zh-CN" w:bidi="ar-SA"/>
    </w:rPr>
  </w:style>
  <w:style w:type="paragraph" w:customStyle="1" w:styleId="21">
    <w:name w:val="段"/>
    <w:link w:val="3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一级条标题 Char"/>
    <w:link w:val="23"/>
    <w:qFormat/>
    <w:uiPriority w:val="0"/>
    <w:rPr>
      <w:rFonts w:eastAsia="黑体"/>
    </w:rPr>
  </w:style>
  <w:style w:type="paragraph" w:customStyle="1" w:styleId="23">
    <w:name w:val="一级条标题"/>
    <w:next w:val="21"/>
    <w:link w:val="22"/>
    <w:qFormat/>
    <w:uiPriority w:val="0"/>
    <w:pPr>
      <w:numPr>
        <w:ilvl w:val="2"/>
        <w:numId w:val="1"/>
      </w:numPr>
      <w:outlineLvl w:val="2"/>
    </w:pPr>
    <w:rPr>
      <w:rFonts w:eastAsia="黑体" w:asciiTheme="minorHAnsi" w:hAnsiTheme="minorHAnsi" w:cstheme="minorBidi"/>
      <w:kern w:val="2"/>
      <w:sz w:val="21"/>
      <w:szCs w:val="22"/>
      <w:lang w:val="en-US" w:eastAsia="zh-CN" w:bidi="ar-SA"/>
    </w:rPr>
  </w:style>
  <w:style w:type="character" w:customStyle="1" w:styleId="24">
    <w:name w:val="页眉 Char"/>
    <w:basedOn w:val="14"/>
    <w:semiHidden/>
    <w:qFormat/>
    <w:uiPriority w:val="99"/>
    <w:rPr>
      <w:sz w:val="18"/>
      <w:szCs w:val="18"/>
    </w:rPr>
  </w:style>
  <w:style w:type="paragraph" w:customStyle="1" w:styleId="25">
    <w:name w:val="目次、标准名称标题"/>
    <w:basedOn w:val="1"/>
    <w:next w:val="1"/>
    <w:qFormat/>
    <w:uiPriority w:val="0"/>
    <w:pPr>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26">
    <w:name w:val="二级条标题"/>
    <w:basedOn w:val="23"/>
    <w:next w:val="21"/>
    <w:qFormat/>
    <w:uiPriority w:val="0"/>
    <w:pPr>
      <w:numPr>
        <w:ilvl w:val="3"/>
      </w:numPr>
      <w:tabs>
        <w:tab w:val="left" w:pos="435"/>
      </w:tabs>
      <w:ind w:left="435" w:hanging="435"/>
      <w:outlineLvl w:val="3"/>
    </w:pPr>
  </w:style>
  <w:style w:type="paragraph" w:customStyle="1" w:styleId="27">
    <w:name w:val="注：（正文）"/>
    <w:basedOn w:val="1"/>
    <w:next w:val="21"/>
    <w:qFormat/>
    <w:uiPriority w:val="0"/>
    <w:pPr>
      <w:numPr>
        <w:ilvl w:val="0"/>
        <w:numId w:val="2"/>
      </w:numPr>
      <w:tabs>
        <w:tab w:val="left" w:pos="1080"/>
      </w:tabs>
      <w:autoSpaceDE w:val="0"/>
      <w:autoSpaceDN w:val="0"/>
      <w:ind w:left="726" w:hanging="363"/>
    </w:pPr>
    <w:rPr>
      <w:rFonts w:ascii="宋体" w:hAnsi="Times New Roman" w:eastAsia="宋体" w:cs="Times New Roman"/>
      <w:kern w:val="0"/>
      <w:sz w:val="18"/>
      <w:szCs w:val="18"/>
    </w:rPr>
  </w:style>
  <w:style w:type="paragraph" w:customStyle="1" w:styleId="28">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9">
    <w:name w:val="标准书脚_奇数页"/>
    <w:qFormat/>
    <w:uiPriority w:val="0"/>
    <w:pPr>
      <w:spacing w:before="120"/>
      <w:jc w:val="right"/>
    </w:pPr>
    <w:rPr>
      <w:rFonts w:ascii="Times New Roman" w:hAnsi="Times New Roman" w:eastAsia="宋体" w:cs="Times New Roman"/>
      <w:sz w:val="18"/>
      <w:lang w:val="en-US" w:eastAsia="zh-CN" w:bidi="ar-SA"/>
    </w:rPr>
  </w:style>
  <w:style w:type="character" w:customStyle="1" w:styleId="30">
    <w:name w:val="页眉 Char1"/>
    <w:link w:val="9"/>
    <w:qFormat/>
    <w:uiPriority w:val="99"/>
    <w:rPr>
      <w:rFonts w:ascii="Times New Roman" w:hAnsi="Times New Roman" w:eastAsia="宋体" w:cs="Times New Roman"/>
      <w:sz w:val="18"/>
      <w:szCs w:val="18"/>
    </w:rPr>
  </w:style>
  <w:style w:type="character" w:customStyle="1" w:styleId="31">
    <w:name w:val="页脚 Char"/>
    <w:basedOn w:val="14"/>
    <w:link w:val="8"/>
    <w:qFormat/>
    <w:uiPriority w:val="99"/>
    <w:rPr>
      <w:sz w:val="18"/>
      <w:szCs w:val="18"/>
    </w:rPr>
  </w:style>
  <w:style w:type="paragraph" w:styleId="32">
    <w:name w:val="List Paragraph"/>
    <w:basedOn w:val="1"/>
    <w:unhideWhenUsed/>
    <w:qFormat/>
    <w:uiPriority w:val="99"/>
    <w:pPr>
      <w:ind w:firstLine="420" w:firstLineChars="200"/>
    </w:pPr>
    <w:rPr>
      <w:szCs w:val="24"/>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批注框文本 Char"/>
    <w:basedOn w:val="14"/>
    <w:link w:val="7"/>
    <w:semiHidden/>
    <w:qFormat/>
    <w:uiPriority w:val="99"/>
    <w:rPr>
      <w:sz w:val="18"/>
      <w:szCs w:val="18"/>
    </w:rPr>
  </w:style>
  <w:style w:type="paragraph" w:customStyle="1" w:styleId="35">
    <w:name w:val="正文 + 宋体"/>
    <w:basedOn w:val="1"/>
    <w:qFormat/>
    <w:uiPriority w:val="0"/>
    <w:pPr>
      <w:spacing w:line="360" w:lineRule="auto"/>
      <w:ind w:firstLine="480" w:firstLineChars="200"/>
    </w:pPr>
    <w:rPr>
      <w:rFonts w:ascii="宋体" w:hAnsi="宋体" w:eastAsia="宋体" w:cs="Times New Roman"/>
      <w:sz w:val="24"/>
      <w:szCs w:val="24"/>
    </w:rPr>
  </w:style>
  <w:style w:type="character" w:customStyle="1" w:styleId="36">
    <w:name w:val="fontstyle01"/>
    <w:basedOn w:val="14"/>
    <w:qFormat/>
    <w:uiPriority w:val="0"/>
    <w:rPr>
      <w:rFonts w:hint="eastAsia" w:ascii="仿宋" w:hAnsi="仿宋" w:eastAsia="仿宋"/>
      <w:color w:val="000000"/>
      <w:sz w:val="30"/>
      <w:szCs w:val="30"/>
    </w:rPr>
  </w:style>
  <w:style w:type="paragraph" w:customStyle="1" w:styleId="37">
    <w:name w:val="Default"/>
    <w:qFormat/>
    <w:uiPriority w:val="0"/>
    <w:pPr>
      <w:widowControl w:val="0"/>
      <w:autoSpaceDE w:val="0"/>
      <w:autoSpaceDN w:val="0"/>
      <w:adjustRightInd w:val="0"/>
    </w:pPr>
    <w:rPr>
      <w:rFonts w:ascii="FZXiaoBiaoSong-B05S" w:hAnsi="Calibri" w:eastAsia="FZXiaoBiaoSong-B05S" w:cs="FZXiaoBiaoSong-B05S"/>
      <w:color w:val="000000"/>
      <w:sz w:val="24"/>
      <w:szCs w:val="24"/>
      <w:lang w:val="en-US" w:eastAsia="zh-CN" w:bidi="ar-SA"/>
    </w:rPr>
  </w:style>
  <w:style w:type="character" w:customStyle="1" w:styleId="38">
    <w:name w:val="未处理的提及2"/>
    <w:basedOn w:val="14"/>
    <w:semiHidden/>
    <w:unhideWhenUsed/>
    <w:qFormat/>
    <w:uiPriority w:val="99"/>
    <w:rPr>
      <w:color w:val="605E5C"/>
      <w:shd w:val="clear" w:color="auto" w:fill="E1DFDD"/>
    </w:rPr>
  </w:style>
  <w:style w:type="character" w:customStyle="1" w:styleId="39">
    <w:name w:val="段 Char"/>
    <w:basedOn w:val="14"/>
    <w:link w:val="21"/>
    <w:qFormat/>
    <w:uiPriority w:val="0"/>
    <w:rPr>
      <w:rFonts w:ascii="宋体" w:hAnsi="Times New Roman" w:eastAsia="宋体" w:cs="Times New Roman"/>
      <w:kern w:val="0"/>
      <w:szCs w:val="20"/>
    </w:rPr>
  </w:style>
  <w:style w:type="paragraph" w:customStyle="1" w:styleId="40">
    <w:name w:val="附录章标题"/>
    <w:next w:val="1"/>
    <w:qFormat/>
    <w:uiPriority w:val="0"/>
    <w:pPr>
      <w:numPr>
        <w:ilvl w:val="1"/>
        <w:numId w:val="3"/>
      </w:numPr>
      <w:tabs>
        <w:tab w:val="left" w:pos="9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41">
    <w:name w:val="附录标识"/>
    <w:basedOn w:val="1"/>
    <w:next w:val="21"/>
    <w:qFormat/>
    <w:uiPriority w:val="99"/>
    <w:pPr>
      <w:keepNext/>
      <w:widowControl/>
      <w:numPr>
        <w:ilvl w:val="0"/>
        <w:numId w:val="4"/>
      </w:numPr>
      <w:shd w:val="clear" w:color="FFFFFF" w:fill="FFFFFF"/>
      <w:tabs>
        <w:tab w:val="left" w:pos="360"/>
        <w:tab w:val="left" w:pos="6405"/>
      </w:tabs>
      <w:spacing w:before="640" w:after="280"/>
      <w:jc w:val="center"/>
      <w:outlineLvl w:val="0"/>
    </w:pPr>
    <w:rPr>
      <w:rFonts w:ascii="黑体" w:hAnsi="Times New Roman" w:eastAsia="黑体"/>
      <w:kern w:val="0"/>
      <w:szCs w:val="20"/>
    </w:rPr>
  </w:style>
  <w:style w:type="paragraph" w:customStyle="1" w:styleId="42">
    <w:name w:val="*.*级目录-zmc"/>
    <w:basedOn w:val="43"/>
    <w:qFormat/>
    <w:uiPriority w:val="99"/>
    <w:pPr>
      <w:outlineLvl w:val="2"/>
    </w:pPr>
  </w:style>
  <w:style w:type="paragraph" w:customStyle="1" w:styleId="43">
    <w:name w:val="3级目录及之后-zmc"/>
    <w:basedOn w:val="1"/>
    <w:qFormat/>
    <w:uiPriority w:val="99"/>
    <w:pPr>
      <w:spacing w:beforeLines="50" w:afterLines="50"/>
    </w:pPr>
  </w:style>
  <w:style w:type="paragraph" w:customStyle="1" w:styleId="44">
    <w:name w:val="2级目录-zmc"/>
    <w:basedOn w:val="1"/>
    <w:qFormat/>
    <w:uiPriority w:val="99"/>
    <w:pPr>
      <w:spacing w:before="120" w:after="120"/>
      <w:jc w:val="left"/>
      <w:outlineLvl w:val="1"/>
    </w:pPr>
    <w:rPr>
      <w:rFonts w:ascii="黑体" w:hAnsi="黑体" w:eastAsia="黑体"/>
      <w:sz w:val="24"/>
      <w:szCs w:val="28"/>
    </w:rPr>
  </w:style>
  <w:style w:type="paragraph" w:customStyle="1" w:styleId="45">
    <w:name w:val="EndNote Bibliography"/>
    <w:basedOn w:val="1"/>
    <w:qFormat/>
    <w:uiPriority w:val="0"/>
    <w:rPr>
      <w:rFonts w:ascii="等线" w:hAnsi="等线" w:eastAsia="等线"/>
      <w:sz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9" textRotate="1"/>
    <customShpInfo spid="_x0000_s2056" textRotate="1"/>
    <customShpInfo spid="_x0000_s2051"/>
    <customShpInfo spid="_x0000_s2054" textRotate="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32126</Words>
  <Characters>42541</Characters>
  <Lines>45</Lines>
  <Paragraphs>12</Paragraphs>
  <TotalTime>2</TotalTime>
  <ScaleCrop>false</ScaleCrop>
  <LinksUpToDate>false</LinksUpToDate>
  <CharactersWithSpaces>43578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2019-08-07T02:38:00Z</dcterms:created>
  <dc:creator>fengxue</dc:creator>
  <cp:lastModifiedBy>周超锋</cp:lastModifiedBy>
  <cp:lastPrinted>2019-09-11T03:12:00Z</cp:lastPrinted>
  <dcterms:modified xsi:type="dcterms:W3CDTF">2022-05-13T15:21:27Z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CE7C39F39EAF4AF592336C32CCC03804</vt:lpwstr>
  </property>
  <property fmtid="{D5CDD505-2E9C-101B-9397-08002B2CF9AE}" pid="4" name="commondata">
    <vt:lpwstr>eyJoZGlkIjoiYTc2ZGZiNzZiNDVlOGViOWVmM2JhOTY0NGJkNjUyYzgifQ==</vt:lpwstr>
  </property>
</Properties>
</file>