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  <w:t>附件</w:t>
      </w:r>
      <w:bookmarkStart w:id="0" w:name="pindex27"/>
      <w:bookmarkEnd w:id="0"/>
      <w: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lang w:val="en-US" w:eastAsia="zh-CN"/>
        </w:rPr>
        <w:t>2</w:t>
      </w:r>
    </w:p>
    <w:p>
      <w:pPr>
        <w:widowControl/>
        <w:spacing w:line="560" w:lineRule="exact"/>
        <w:rPr>
          <w:rFonts w:ascii="黑体" w:hAnsi="黑体" w:eastAsia="黑体" w:cs="黑体"/>
          <w:color w:val="auto"/>
          <w:sz w:val="36"/>
          <w:szCs w:val="36"/>
          <w:highlight w:val="none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1.0版</w:t>
      </w: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中医药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eastAsia="zh-CN"/>
        </w:rPr>
        <w:t>英文</w:t>
      </w: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期刊评价指标体系及释义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</w:p>
    <w:p>
      <w:pPr>
        <w:widowControl/>
        <w:spacing w:line="288" w:lineRule="auto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黑体"/>
          <w:color w:val="auto"/>
          <w:sz w:val="36"/>
          <w:szCs w:val="36"/>
          <w:highlight w:val="none"/>
        </w:rPr>
        <w:t>参 评 资 格</w:t>
      </w: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 xml:space="preserve"> 指 标</w:t>
      </w:r>
      <w:bookmarkStart w:id="1" w:name="pindex30"/>
      <w:bookmarkEnd w:id="1"/>
    </w:p>
    <w:tbl>
      <w:tblPr>
        <w:tblStyle w:val="4"/>
        <w:tblW w:w="1302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1065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2379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  <w:t>指标</w:t>
            </w:r>
          </w:p>
        </w:tc>
        <w:tc>
          <w:tcPr>
            <w:tcW w:w="10650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  <w:t>指标释义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37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政策法规</w:t>
            </w:r>
          </w:p>
        </w:tc>
        <w:tc>
          <w:tcPr>
            <w:tcW w:w="1065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出现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本指标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下所列各种问题一票否决期刊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参评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379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1.1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出版行为规范</w:t>
            </w:r>
          </w:p>
        </w:tc>
        <w:tc>
          <w:tcPr>
            <w:tcW w:w="10650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出现违反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《出版管理条例》规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定的出版行为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，违反宣传纪律，包括但不限于：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违反重大选题备案制度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失密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台、港、澳称谓错误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地图使用及标注错误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重大涉政文字错误及其他政治性错误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刊登违法广告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379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1.2办刊方针</w:t>
            </w:r>
          </w:p>
        </w:tc>
        <w:tc>
          <w:tcPr>
            <w:tcW w:w="10650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出现违背办刊宗旨、超范围报道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379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1.3道德规范</w:t>
            </w:r>
          </w:p>
        </w:tc>
        <w:tc>
          <w:tcPr>
            <w:tcW w:w="10650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出现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违背出版伦理、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违背科研伦理、违背学术诚信、违背职业道德的问题</w:t>
            </w:r>
          </w:p>
        </w:tc>
      </w:tr>
    </w:tbl>
    <w:p>
      <w:pPr>
        <w:widowControl/>
        <w:spacing w:line="288" w:lineRule="auto"/>
        <w:jc w:val="center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</w:p>
    <w:p>
      <w:pPr>
        <w:widowControl/>
        <w:spacing w:line="252" w:lineRule="auto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基础条件指标和</w:t>
      </w:r>
      <w:r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  <w:t>统计</w:t>
      </w: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指标</w:t>
      </w:r>
      <w:bookmarkStart w:id="2" w:name="pindex58"/>
      <w:bookmarkEnd w:id="2"/>
      <w:bookmarkStart w:id="3" w:name="bRPindex58"/>
      <w:bookmarkEnd w:id="3"/>
      <w:bookmarkStart w:id="4" w:name="PePindex58"/>
      <w:bookmarkEnd w:id="4"/>
    </w:p>
    <w:tbl>
      <w:tblPr>
        <w:tblStyle w:val="4"/>
        <w:tblW w:w="1498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283"/>
        <w:gridCol w:w="2687"/>
        <w:gridCol w:w="1060"/>
        <w:gridCol w:w="676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  <w:t>一级指标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  <w:t>二级指标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  <w:t>三级指标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  <w:t>权重</w:t>
            </w: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  <w:t>指标释义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988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</w:rPr>
              <w:t>基础条件指标（权重0.35）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2.基础建设条件与环境资源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2.1人力资源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2.1.1编辑部人员构成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和执业资格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编辑部人员的基本情况，包括编辑部人员数量、人员姓名、年龄、学历、职称、获得执业资格证情况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2.1.2期刊负责人是否具有主编岗位培训合格证书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2.1.3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人才素质和获奖情况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人员职业素养和获得奖励表彰情况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2.1.4员工培训和队伍建设情况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员工开展培训和进行队伍建设的情况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 xml:space="preserve">.1.5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编委中国外编委的比例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国外编委的比例（提供官网网页说明，包括国家、单位）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2.2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管理机制与流程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期刊出版过程的中的系列标准和规范文件，包括投稿须知、审稿制度、学术伦理、科研诚信规则、版权制度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、出版流程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3.编辑与出版能力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3.1编校质量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每年须参与中华中医药学会组织的审读，由学会出具审读结果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3.2出版形式规范性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每年须参与中华中医药学会组织的审读，由学会出具审读结果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3.3刊用率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刊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用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率=刊发数量/收稿数量×100%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，分别统计前3年的年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刊发数量和收稿数量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3.4 主题出版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能否围绕本领域重大关键问题或社会关注热点，组织栏目、稿件，积极探讨回应，为本领域解决关键问题、寻求社会共识、创造创新成果、提升文化自信贡献力量；能否围绕重大热点问题和重大活动，积极策划、组织、实施、创新主题出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 xml:space="preserve">.5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刊发论文的国际规范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论文报告内容是否符合不同类型研究的国际报告规范，如C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ONSORT, SPIRIT, PRISMA, CARE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等；以及网站投稿系统或稿约中是否有相关要求（提供网页截图等证据）。</w:t>
            </w:r>
          </w:p>
          <w:p>
            <w:pPr>
              <w:widowControl/>
              <w:spacing w:line="252" w:lineRule="auto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bookmarkStart w:id="5" w:name="_GoBack"/>
            <w:bookmarkEnd w:id="5"/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论文中的临床试验在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itmctr.ccebtcm.org.cn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（推荐平台）或其他平台注册，并在论文中报告注册号。（编辑部提供相关发表论文一篇）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988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30"/>
                <w:szCs w:val="30"/>
                <w:highlight w:val="none"/>
              </w:rPr>
              <w:t>统计</w:t>
            </w:r>
            <w:r>
              <w:rPr>
                <w:rFonts w:ascii="Times New Roman" w:hAnsi="Times New Roman" w:eastAsia="黑体"/>
                <w:color w:val="auto"/>
                <w:sz w:val="30"/>
                <w:szCs w:val="30"/>
                <w:highlight w:val="none"/>
              </w:rPr>
              <w:t>指标（权重0.65）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4.学术影响力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4.1总被引频次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期刊发表论文在某年被引用的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4.2影响因子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前两年论文在第三年的引用次数与前两年论文数量的比值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4.3他引率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某年某刊被其他期刊引用次数占该刊总被引频次的比例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4.4数据库收录情况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期刊被重要数据库收录；期刊被国际知名数据库收录的增加权重（国际知名数据库包括：W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eb of Science, Medline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4.5基金论文比例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被基金资助的论文数量占总发表论文数量的比例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 xml:space="preserve">.6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国外论文比例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国外论文数量占总发表论文数量的比例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5.用户满意度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由科学共同体投票产生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;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增加国外学者的调研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6.出版传播能力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6.1发行及下载情况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6.1.1纸刊发行量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提供纸质期刊印刷单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6.1.2网络下载量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包括年下载总量及篇均下载量；</w:t>
            </w:r>
          </w:p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来自知网、万方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、维普、自建网站及国外合作出版机构，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提供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国内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外下载量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，增加国外下载量权重。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6.2信息化水平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6.2.1是否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有独立网站和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在线投审稿系统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提供网页截图等证据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6.2.2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数字化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建设情况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是否有增强出版、网络首发、微信公众号、微博、快手、今日头条、抖音等新型出版传播方式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.3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国际传播力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国外下载量；国外订户数量；主办或协办国际学术活动（主办或协办的权重分级，提供会议通知等相关证据）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988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left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备注：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1.</w:t>
            </w:r>
            <w:r>
              <w:rPr>
                <w:rFonts w:ascii="Times New Roman" w:hAnsi="Times New Roman"/>
                <w:color w:val="auto"/>
                <w:highlight w:val="none"/>
              </w:rPr>
              <w:t>数据统计来源为2019—20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2</w:t>
            </w:r>
            <w:r>
              <w:rPr>
                <w:rFonts w:ascii="Times New Roman" w:hAnsi="Times New Roman"/>
                <w:color w:val="auto"/>
                <w:highlight w:val="none"/>
              </w:rPr>
              <w:t>1年发表论文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。  </w:t>
            </w:r>
          </w:p>
          <w:p>
            <w:pPr>
              <w:widowControl/>
              <w:spacing w:line="252" w:lineRule="auto"/>
              <w:ind w:firstLine="630" w:firstLineChars="30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2.关于“5.用户满意度”指标，在专家投票时将给出如下投票提示：如果不考虑其他因素，（1）您最想投稿的期刊是……？（2）检索论文时，您认为可信度最高的期刊是……？（3）您最喜欢的期刊是……？</w:t>
            </w:r>
          </w:p>
        </w:tc>
      </w:tr>
    </w:tbl>
    <w:p>
      <w:pPr>
        <w:spacing w:line="264" w:lineRule="auto"/>
        <w:rPr>
          <w:rFonts w:ascii="Times New Roman" w:hAnsi="Times New Roman"/>
          <w:color w:val="auto"/>
          <w:highlight w:val="none"/>
        </w:rPr>
      </w:pPr>
    </w:p>
    <w:p>
      <w:pPr>
        <w:rPr>
          <w:color w:val="auto"/>
          <w:highlight w:val="none"/>
        </w:rPr>
      </w:pPr>
    </w:p>
    <w:sectPr>
      <w:pgSz w:w="16838" w:h="11906" w:orient="landscape"/>
      <w:pgMar w:top="1327" w:right="1349" w:bottom="1270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9F386B-443D-489D-ADB4-CD97CB5F7F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E45F4243-CDF0-4CC7-9FDA-8A246432F2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42E99A7-5E6A-49EC-B79B-E6778302978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1MWNiM2QyY2FmNjk4OGY0NzU3MDliMTU5NDViNTQifQ=="/>
  </w:docVars>
  <w:rsids>
    <w:rsidRoot w:val="00D8790A"/>
    <w:rsid w:val="000B7177"/>
    <w:rsid w:val="000F2BDB"/>
    <w:rsid w:val="001504CC"/>
    <w:rsid w:val="002E61F3"/>
    <w:rsid w:val="003D549A"/>
    <w:rsid w:val="004017EC"/>
    <w:rsid w:val="00404730"/>
    <w:rsid w:val="004D188A"/>
    <w:rsid w:val="004D77C1"/>
    <w:rsid w:val="00510760"/>
    <w:rsid w:val="0081023B"/>
    <w:rsid w:val="008C666A"/>
    <w:rsid w:val="009E4DF8"/>
    <w:rsid w:val="00D77AEA"/>
    <w:rsid w:val="00D86C6B"/>
    <w:rsid w:val="00D8790A"/>
    <w:rsid w:val="00DE48CA"/>
    <w:rsid w:val="00E65C28"/>
    <w:rsid w:val="00F95577"/>
    <w:rsid w:val="0D3A7E4E"/>
    <w:rsid w:val="227D61FA"/>
    <w:rsid w:val="6A7B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1408</Words>
  <Characters>1578</Characters>
  <Lines>12</Lines>
  <Paragraphs>3</Paragraphs>
  <TotalTime>253</TotalTime>
  <ScaleCrop>false</ScaleCrop>
  <LinksUpToDate>false</LinksUpToDate>
  <CharactersWithSpaces>1597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2023-02-20T03:34:00Z</dcterms:created>
  <dc:creator>guo yan</dc:creator>
  <cp:lastModifiedBy>薄扶林</cp:lastModifiedBy>
  <cp:lastPrinted>2023-05-17T07:42:00Z</cp:lastPrinted>
  <dcterms:modified xsi:type="dcterms:W3CDTF">2023-06-06T07:02:53Z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1914B2E11170480D82213AE41F4AEFBF_12</vt:lpwstr>
  </property>
</Properties>
</file>