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中华中医药学会</w:t>
      </w:r>
      <w:r>
        <w:rPr>
          <w:rFonts w:hint="eastAsia" w:ascii="方正小标宋简体" w:hAnsi="方正小标宋简体" w:eastAsia="方正小标宋简体" w:cs="方正小标宋简体"/>
          <w:sz w:val="44"/>
          <w:szCs w:val="44"/>
          <w:lang w:val="en-US" w:eastAsia="zh-CN"/>
        </w:rPr>
        <w:t>关于开展</w:t>
      </w:r>
      <w:r>
        <w:rPr>
          <w:rFonts w:hint="eastAsia" w:ascii="方正小标宋简体" w:hAnsi="方正小标宋简体" w:eastAsia="方正小标宋简体" w:cs="方正小标宋简体"/>
          <w:sz w:val="44"/>
          <w:szCs w:val="44"/>
        </w:rPr>
        <w:t>“学术引领年”</w:t>
      </w: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lang w:val="en-US" w:eastAsia="zh-CN"/>
        </w:rPr>
        <w:t>的指导意见</w:t>
      </w:r>
    </w:p>
    <w:p>
      <w:pPr>
        <w:pStyle w:val="2"/>
        <w:spacing w:line="600" w:lineRule="exact"/>
      </w:pP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学术性是学会的基本属性。为贯彻落实党的二十大</w:t>
      </w:r>
      <w:r>
        <w:rPr>
          <w:rFonts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习近平总书记的重要指示精神和国家中医药局、中国科协、民政部工作要求，着力增强中华中医药学会</w:t>
      </w:r>
      <w:r>
        <w:rPr>
          <w:rFonts w:hint="eastAsia" w:ascii="楷体" w:hAnsi="楷体" w:eastAsia="楷体" w:cs="楷体"/>
          <w:color w:val="000000" w:themeColor="text1"/>
          <w:sz w:val="32"/>
          <w:szCs w:val="32"/>
          <w:shd w:val="clear" w:color="auto" w:fill="FFFFFF"/>
          <w14:textFill>
            <w14:solidFill>
              <w14:schemeClr w14:val="tx1"/>
            </w14:solidFill>
          </w14:textFill>
        </w:rPr>
        <w:t>（以下简称“学会”）</w:t>
      </w:r>
      <w:r>
        <w:rPr>
          <w:rFonts w:hint="eastAsia" w:ascii="仿宋" w:hAnsi="仿宋" w:eastAsia="仿宋" w:cs="仿宋"/>
          <w:color w:val="000000" w:themeColor="text1"/>
          <w:sz w:val="32"/>
          <w:szCs w:val="32"/>
          <w:shd w:val="clear" w:color="auto" w:fill="FFFFFF"/>
          <w14:textFill>
            <w14:solidFill>
              <w14:schemeClr w14:val="tx1"/>
            </w14:solidFill>
          </w14:textFill>
        </w:rPr>
        <w:t>学术引领能力，切实发挥学术引领作用，加快推进一流学会和一流期刊建设，更好促进中医药传承创新发展，学会拟从2023年起，开展为期三年的“学术引领年”活动。现制定方案如下。</w:t>
      </w:r>
    </w:p>
    <w:p>
      <w:pPr>
        <w:spacing w:line="60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一、指导思想</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以习近平新时代中国特色社会主义思想为指导，认真贯彻党的二十大以及习近平总书记关于中医药、群团、科技创新和人才工作的重要指示精神，</w:t>
      </w:r>
      <w:r>
        <w:rPr>
          <w:rFonts w:hint="eastAsia" w:ascii="仿宋" w:hAnsi="仿宋" w:eastAsia="仿宋" w:cs="仿宋"/>
          <w:sz w:val="32"/>
          <w:szCs w:val="32"/>
        </w:rPr>
        <w:t>紧扣“四个面向”</w:t>
      </w:r>
      <w:r>
        <w:rPr>
          <w:rFonts w:hint="eastAsia" w:ascii="楷体" w:hAnsi="楷体" w:eastAsia="楷体" w:cs="楷体"/>
          <w:color w:val="000000"/>
          <w:sz w:val="32"/>
          <w:szCs w:val="32"/>
        </w:rPr>
        <w:t>（面向世界科技前沿、面向经济主战场、面向国家重大需求、面向人民生命健康）</w:t>
      </w:r>
      <w:r>
        <w:rPr>
          <w:rFonts w:hint="eastAsia" w:ascii="仿宋" w:hAnsi="仿宋" w:eastAsia="仿宋" w:cs="仿宋"/>
          <w:color w:val="000000"/>
          <w:sz w:val="32"/>
          <w:szCs w:val="32"/>
        </w:rPr>
        <w:t>，树立鲜明的创新导向，着力</w:t>
      </w:r>
      <w:r>
        <w:rPr>
          <w:rFonts w:hint="eastAsia" w:ascii="仿宋" w:hAnsi="仿宋" w:eastAsia="仿宋" w:cs="仿宋"/>
          <w:color w:val="000000" w:themeColor="text1"/>
          <w:sz w:val="32"/>
          <w:szCs w:val="32"/>
          <w:shd w:val="clear" w:color="auto" w:fill="FFFFFF"/>
          <w14:textFill>
            <w14:solidFill>
              <w14:schemeClr w14:val="tx1"/>
            </w14:solidFill>
          </w14:textFill>
        </w:rPr>
        <w:t>强组织、搭平台、建品牌、育人才、促发展，不断增强中医药学术引领性、权威性、科学性、实效性，为中医药高质量发展提供坚实支撑。</w:t>
      </w:r>
    </w:p>
    <w:p>
      <w:pPr>
        <w:spacing w:line="60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二、基本原则</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14:textFill>
            <w14:solidFill>
              <w14:schemeClr w14:val="tx1"/>
            </w14:solidFill>
          </w14:textFill>
        </w:rPr>
        <w:t>（一）深化认识，准确定位。</w:t>
      </w:r>
      <w:r>
        <w:rPr>
          <w:rFonts w:hint="eastAsia" w:ascii="仿宋" w:hAnsi="仿宋" w:eastAsia="仿宋" w:cs="仿宋"/>
          <w:color w:val="000000" w:themeColor="text1"/>
          <w:sz w:val="32"/>
          <w:szCs w:val="32"/>
          <w:shd w:val="clear" w:color="auto" w:fill="FFFFFF"/>
          <w14:textFill>
            <w14:solidFill>
              <w14:schemeClr w14:val="tx1"/>
            </w14:solidFill>
          </w14:textFill>
        </w:rPr>
        <w:t>以党的创新理论为指引，深刻认识坚持创新在我国现代化建设全局中的核心地位，准确把握学会作为中医药学术进步和学科发展策划者、组织者、推动者、实施者的重大职责，自觉担起促进中医药传承创新发展的重要使命。</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14:textFill>
            <w14:solidFill>
              <w14:schemeClr w14:val="tx1"/>
            </w14:solidFill>
          </w14:textFill>
        </w:rPr>
        <w:t>（二）突出创新，提升质量。</w:t>
      </w:r>
      <w:r>
        <w:rPr>
          <w:rFonts w:hint="eastAsia" w:ascii="仿宋" w:hAnsi="仿宋" w:eastAsia="仿宋" w:cs="仿宋"/>
          <w:color w:val="000000" w:themeColor="text1"/>
          <w:sz w:val="32"/>
          <w:szCs w:val="32"/>
          <w:shd w:val="clear" w:color="auto" w:fill="FFFFFF"/>
          <w14:textFill>
            <w14:solidFill>
              <w14:schemeClr w14:val="tx1"/>
            </w14:solidFill>
          </w14:textFill>
        </w:rPr>
        <w:t>坚持目标导向、需求导向和问题导向，面向学科发展前沿，注重凝练重大科学问题和实践需要解决的难题，充分借鉴现代科技成果，促进交叉融合，不断优化学术活动的交流形式和组织模式，全面提升学术活动质量和成效。</w:t>
      </w:r>
    </w:p>
    <w:p>
      <w:pPr>
        <w:spacing w:line="600" w:lineRule="exact"/>
        <w:ind w:firstLine="640" w:firstLineChars="200"/>
        <w:rPr>
          <w:rFonts w:ascii="仿宋" w:hAnsi="仿宋" w:eastAsia="仿宋" w:cs="仿宋"/>
          <w:sz w:val="32"/>
          <w:szCs w:val="32"/>
        </w:rPr>
      </w:pPr>
      <w:r>
        <w:rPr>
          <w:rFonts w:hint="eastAsia" w:ascii="楷体" w:hAnsi="楷体" w:eastAsia="楷体" w:cs="楷体"/>
          <w:color w:val="000000" w:themeColor="text1"/>
          <w:sz w:val="32"/>
          <w:szCs w:val="32"/>
          <w:shd w:val="clear" w:color="auto" w:fill="FFFFFF"/>
          <w14:textFill>
            <w14:solidFill>
              <w14:schemeClr w14:val="tx1"/>
            </w14:solidFill>
          </w14:textFill>
        </w:rPr>
        <w:t>（三）整合资源，共建共享。</w:t>
      </w:r>
      <w:r>
        <w:rPr>
          <w:rFonts w:hint="eastAsia" w:ascii="仿宋" w:hAnsi="仿宋" w:eastAsia="仿宋" w:cs="仿宋"/>
          <w:sz w:val="32"/>
          <w:szCs w:val="32"/>
        </w:rPr>
        <w:t>加强对学会高端智库、分支机构、秘书处各部门、系列期刊等的统筹，充分整合相关单位优势资源开展学术活动和科研攻关，注重彼此之间的协同，注重学术与科普、人才培养等联动推进。</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14:textFill>
            <w14:solidFill>
              <w14:schemeClr w14:val="tx1"/>
            </w14:solidFill>
          </w14:textFill>
        </w:rPr>
        <w:t>（四）试点先行，梯次推进。</w:t>
      </w:r>
      <w:r>
        <w:rPr>
          <w:rFonts w:hint="eastAsia" w:ascii="仿宋" w:hAnsi="仿宋" w:eastAsia="仿宋" w:cs="仿宋"/>
          <w:sz w:val="32"/>
          <w:szCs w:val="32"/>
        </w:rPr>
        <w:t>指导推动若干工作基础较好的分支机构先行先试、积累经验，再逐步扩展到其他分支机构和系列期刊，形成整体推进、具有学会特色、成效明显的中医药学术发展格局。</w:t>
      </w:r>
    </w:p>
    <w:p>
      <w:pPr>
        <w:spacing w:line="60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三、主要目标</w:t>
      </w:r>
    </w:p>
    <w:p>
      <w:pPr>
        <w:spacing w:line="600" w:lineRule="exact"/>
        <w:ind w:firstLine="640" w:firstLineChars="200"/>
        <w:rPr>
          <w:rFonts w:ascii="仿宋" w:hAnsi="仿宋" w:eastAsia="仿宋" w:cs="仿宋"/>
          <w:color w:val="0000FF"/>
          <w:sz w:val="32"/>
          <w:szCs w:val="32"/>
          <w:shd w:val="clear" w:color="auto" w:fill="FFFFFF"/>
        </w:rPr>
      </w:pPr>
      <w:r>
        <w:rPr>
          <w:rFonts w:hint="eastAsia" w:ascii="仿宋" w:hAnsi="仿宋" w:eastAsia="仿宋" w:cs="仿宋"/>
          <w:color w:val="000000" w:themeColor="text1"/>
          <w:sz w:val="32"/>
          <w:szCs w:val="32"/>
          <w:shd w:val="clear" w:color="auto" w:fill="FFFFFF"/>
          <w14:textFill>
            <w14:solidFill>
              <w14:schemeClr w14:val="tx1"/>
            </w14:solidFill>
          </w14:textFill>
        </w:rPr>
        <w:t>“学术引领年”活动分三阶段进行：第一阶段开展试点、注重联动，第二阶段全面推开、建立机制，第三阶段形成模式、初见成效，通过3年左右的时间，进一步</w:t>
      </w:r>
      <w:r>
        <w:rPr>
          <w:rFonts w:hint="eastAsia" w:ascii="仿宋" w:hAnsi="仿宋" w:eastAsia="仿宋" w:cs="仿宋"/>
          <w:sz w:val="32"/>
          <w:szCs w:val="32"/>
        </w:rPr>
        <w:t>提高学术发展趋势研判、重大科学问题难题凝练、重点研究策划组织、重要政策建议咨询四大能力，产出一批高质量学术成果，形成更多</w:t>
      </w:r>
      <w:r>
        <w:rPr>
          <w:rFonts w:hint="eastAsia" w:ascii="仿宋" w:hAnsi="仿宋" w:eastAsia="仿宋" w:cs="仿宋"/>
          <w:sz w:val="32"/>
          <w:szCs w:val="32"/>
          <w:shd w:val="clear" w:color="auto" w:fill="FFFFFF"/>
        </w:rPr>
        <w:t>学术活动品牌，加快骨干人才培养，不断提升学会在行业内外的权威性和影响力。</w:t>
      </w:r>
    </w:p>
    <w:p>
      <w:pPr>
        <w:spacing w:line="60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四、重点任务</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14:textFill>
            <w14:solidFill>
              <w14:schemeClr w14:val="tx1"/>
            </w14:solidFill>
          </w14:textFill>
        </w:rPr>
        <w:t>（一）建设高端智库</w:t>
      </w:r>
    </w:p>
    <w:p>
      <w:pPr>
        <w:spacing w:line="60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1</w:t>
      </w:r>
      <w:r>
        <w:rPr>
          <w:rFonts w:ascii="仿宋" w:hAnsi="仿宋" w:eastAsia="仿宋" w:cs="仿宋"/>
          <w:b/>
          <w:bCs/>
          <w:color w:val="000000" w:themeColor="text1"/>
          <w:sz w:val="32"/>
          <w:szCs w:val="32"/>
          <w:shd w:val="clear" w:color="auto" w:fill="FFFFFF"/>
          <w14:textFill>
            <w14:solidFill>
              <w14:schemeClr w14:val="tx1"/>
            </w14:solidFill>
          </w14:textFill>
        </w:rPr>
        <w:t>.</w:t>
      </w:r>
      <w:r>
        <w:rPr>
          <w:rFonts w:hint="eastAsia" w:ascii="仿宋" w:hAnsi="仿宋" w:eastAsia="仿宋" w:cs="仿宋"/>
          <w:b/>
          <w:bCs/>
          <w:color w:val="000000" w:themeColor="text1"/>
          <w:sz w:val="32"/>
          <w:szCs w:val="32"/>
          <w:shd w:val="clear" w:color="auto" w:fill="FFFFFF"/>
          <w14:textFill>
            <w14:solidFill>
              <w14:schemeClr w14:val="tx1"/>
            </w14:solidFill>
          </w14:textFill>
        </w:rPr>
        <w:t>推动有效运转。</w:t>
      </w:r>
      <w:r>
        <w:rPr>
          <w:rFonts w:hint="eastAsia" w:ascii="仿宋" w:hAnsi="仿宋" w:eastAsia="仿宋" w:cs="仿宋"/>
          <w:color w:val="000000" w:themeColor="text1"/>
          <w:sz w:val="32"/>
          <w:szCs w:val="32"/>
          <w:shd w:val="clear" w:color="auto" w:fill="FFFFFF"/>
          <w14:textFill>
            <w14:solidFill>
              <w14:schemeClr w14:val="tx1"/>
            </w14:solidFill>
          </w14:textFill>
        </w:rPr>
        <w:t>重点围绕会议、调研和成果形成转化加强制度机制建设，强化秘书处相关部门工作支撑和服务，推动学会专家咨询委员会、学术委员会、创新委员会、自律与维权委员会、教育与人才委员会等五个委员会规范化运作、常态化活动。</w:t>
      </w:r>
    </w:p>
    <w:p>
      <w:pPr>
        <w:spacing w:line="60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b/>
          <w:bCs/>
          <w:color w:val="000000" w:themeColor="text1"/>
          <w:sz w:val="32"/>
          <w:szCs w:val="32"/>
          <w:shd w:val="clear" w:color="auto" w:fill="FFFFFF"/>
          <w14:textFill>
            <w14:solidFill>
              <w14:schemeClr w14:val="tx1"/>
            </w14:solidFill>
          </w14:textFill>
        </w:rPr>
        <w:t>2.</w:t>
      </w:r>
      <w:r>
        <w:rPr>
          <w:rFonts w:hint="eastAsia" w:ascii="仿宋" w:hAnsi="仿宋" w:eastAsia="仿宋" w:cs="仿宋"/>
          <w:b/>
          <w:bCs/>
          <w:color w:val="000000" w:themeColor="text1"/>
          <w:sz w:val="32"/>
          <w:szCs w:val="32"/>
          <w:shd w:val="clear" w:color="auto" w:fill="FFFFFF"/>
          <w14:textFill>
            <w14:solidFill>
              <w14:schemeClr w14:val="tx1"/>
            </w14:solidFill>
          </w14:textFill>
        </w:rPr>
        <w:t>加强成果产出。</w:t>
      </w:r>
      <w:r>
        <w:rPr>
          <w:rFonts w:hint="eastAsia" w:ascii="仿宋" w:hAnsi="仿宋" w:eastAsia="仿宋" w:cs="仿宋"/>
          <w:color w:val="000000" w:themeColor="text1"/>
          <w:sz w:val="32"/>
          <w:szCs w:val="32"/>
          <w:shd w:val="clear" w:color="auto" w:fill="FFFFFF"/>
          <w14:textFill>
            <w14:solidFill>
              <w14:schemeClr w14:val="tx1"/>
            </w14:solidFill>
          </w14:textFill>
        </w:rPr>
        <w:t>在综合调研基础上，不定期召开形势分析会、研讨会，充分发挥权威专家和战略科学家的引领作用，加强学术发展趋势研判，合理凝练中医药重大科学问题难题和年度学术重点研究方向，形成专家建议，并以多种形式进行反映。</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14:textFill>
            <w14:solidFill>
              <w14:schemeClr w14:val="tx1"/>
            </w14:solidFill>
          </w14:textFill>
        </w:rPr>
        <w:t>（二）发挥分支机构主力军作用</w:t>
      </w:r>
    </w:p>
    <w:p>
      <w:pPr>
        <w:spacing w:line="60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b/>
          <w:bCs/>
          <w:color w:val="000000" w:themeColor="text1"/>
          <w:sz w:val="32"/>
          <w:szCs w:val="32"/>
          <w:shd w:val="clear" w:color="auto" w:fill="FFFFFF"/>
          <w14:textFill>
            <w14:solidFill>
              <w14:schemeClr w14:val="tx1"/>
            </w14:solidFill>
          </w14:textFill>
        </w:rPr>
        <w:t>3.</w:t>
      </w:r>
      <w:r>
        <w:rPr>
          <w:rFonts w:hint="eastAsia" w:ascii="仿宋" w:hAnsi="仿宋" w:eastAsia="仿宋" w:cs="仿宋"/>
          <w:b/>
          <w:bCs/>
          <w:color w:val="000000" w:themeColor="text1"/>
          <w:sz w:val="32"/>
          <w:szCs w:val="32"/>
          <w:shd w:val="clear" w:color="auto" w:fill="FFFFFF"/>
          <w14:textFill>
            <w14:solidFill>
              <w14:schemeClr w14:val="tx1"/>
            </w14:solidFill>
          </w14:textFill>
        </w:rPr>
        <w:t>提升学术年会“含金量”。</w:t>
      </w:r>
      <w:r>
        <w:rPr>
          <w:rFonts w:hint="eastAsia" w:ascii="仿宋" w:hAnsi="仿宋" w:eastAsia="仿宋" w:cs="仿宋"/>
          <w:color w:val="000000" w:themeColor="text1"/>
          <w:sz w:val="32"/>
          <w:szCs w:val="32"/>
          <w:shd w:val="clear" w:color="auto" w:fill="FFFFFF"/>
          <w14:textFill>
            <w14:solidFill>
              <w14:schemeClr w14:val="tx1"/>
            </w14:solidFill>
          </w14:textFill>
        </w:rPr>
        <w:t>指导分支机构会前开展学科综合分析，明确发展趋势、现状、问题、需求等，突出创新元素，做好策划设计；会后进行总结评估，明确共识、方向、路径、任务等，形成学术成果简报，包括新闻稿也要有学术味，形成良性循环。</w:t>
      </w:r>
    </w:p>
    <w:p>
      <w:pPr>
        <w:spacing w:line="60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4</w:t>
      </w:r>
      <w:r>
        <w:rPr>
          <w:rFonts w:ascii="仿宋" w:hAnsi="仿宋" w:eastAsia="仿宋" w:cs="仿宋"/>
          <w:b/>
          <w:bCs/>
          <w:color w:val="000000" w:themeColor="text1"/>
          <w:sz w:val="32"/>
          <w:szCs w:val="32"/>
          <w:shd w:val="clear" w:color="auto" w:fill="FFFFFF"/>
          <w14:textFill>
            <w14:solidFill>
              <w14:schemeClr w14:val="tx1"/>
            </w14:solidFill>
          </w14:textFill>
        </w:rPr>
        <w:t>.</w:t>
      </w:r>
      <w:r>
        <w:rPr>
          <w:rFonts w:hint="eastAsia" w:ascii="仿宋" w:hAnsi="仿宋" w:eastAsia="仿宋" w:cs="仿宋"/>
          <w:b/>
          <w:bCs/>
          <w:color w:val="000000" w:themeColor="text1"/>
          <w:sz w:val="32"/>
          <w:szCs w:val="32"/>
          <w:shd w:val="clear" w:color="auto" w:fill="FFFFFF"/>
          <w14:textFill>
            <w14:solidFill>
              <w14:schemeClr w14:val="tx1"/>
            </w14:solidFill>
          </w14:textFill>
        </w:rPr>
        <w:t>组织科研攻关。</w:t>
      </w:r>
      <w:r>
        <w:rPr>
          <w:rFonts w:hint="eastAsia" w:ascii="仿宋" w:hAnsi="仿宋" w:eastAsia="仿宋" w:cs="仿宋"/>
          <w:color w:val="000000" w:themeColor="text1"/>
          <w:sz w:val="32"/>
          <w:szCs w:val="32"/>
          <w:shd w:val="clear" w:color="auto" w:fill="FFFFFF"/>
          <w14:textFill>
            <w14:solidFill>
              <w14:schemeClr w14:val="tx1"/>
            </w14:solidFill>
          </w14:textFill>
        </w:rPr>
        <w:t>鼓励有条件的分支机构围绕学科发展、学科史、学科方向预测、产业与技术发展路线图、学科热点综述等方面，以小切口申报课题研究和开展自主研究，探索会企协同发展的课题立项模式，不断积累学会自有研究成果。</w:t>
      </w:r>
    </w:p>
    <w:p>
      <w:pPr>
        <w:pStyle w:val="2"/>
        <w:ind w:left="0" w:leftChars="0" w:firstLine="64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b/>
          <w:bCs/>
          <w:color w:val="000000" w:themeColor="text1"/>
          <w:sz w:val="32"/>
          <w:szCs w:val="32"/>
          <w:shd w:val="clear" w:color="auto" w:fill="FFFFFF"/>
          <w14:textFill>
            <w14:solidFill>
              <w14:schemeClr w14:val="tx1"/>
            </w14:solidFill>
          </w14:textFill>
        </w:rPr>
        <w:t>5.</w:t>
      </w:r>
      <w:r>
        <w:rPr>
          <w:rFonts w:hint="eastAsia" w:ascii="仿宋" w:hAnsi="仿宋" w:eastAsia="仿宋" w:cs="仿宋"/>
          <w:b/>
          <w:bCs/>
          <w:color w:val="000000" w:themeColor="text1"/>
          <w:sz w:val="32"/>
          <w:szCs w:val="32"/>
          <w:shd w:val="clear" w:color="auto" w:fill="FFFFFF"/>
          <w14:textFill>
            <w14:solidFill>
              <w14:schemeClr w14:val="tx1"/>
            </w14:solidFill>
          </w14:textFill>
        </w:rPr>
        <w:t>做好学科发展报告。</w:t>
      </w:r>
      <w:r>
        <w:rPr>
          <w:rFonts w:hint="eastAsia" w:ascii="仿宋" w:hAnsi="仿宋" w:eastAsia="仿宋" w:cs="仿宋"/>
          <w:color w:val="000000" w:themeColor="text1"/>
          <w:sz w:val="32"/>
          <w:szCs w:val="32"/>
          <w:shd w:val="clear" w:color="auto" w:fill="FFFFFF"/>
          <w14:textFill>
            <w14:solidFill>
              <w14:schemeClr w14:val="tx1"/>
            </w14:solidFill>
          </w14:textFill>
        </w:rPr>
        <w:t>密切关注学科发展动态，及时总结新理论、新观点、新技术、新方法、新产品</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新模式</w:t>
      </w:r>
      <w:r>
        <w:rPr>
          <w:rFonts w:hint="eastAsia" w:ascii="仿宋" w:hAnsi="仿宋" w:eastAsia="仿宋" w:cs="仿宋"/>
          <w:color w:val="000000" w:themeColor="text1"/>
          <w:sz w:val="32"/>
          <w:szCs w:val="32"/>
          <w:shd w:val="clear" w:color="auto" w:fill="FFFFFF"/>
          <w14:textFill>
            <w14:solidFill>
              <w14:schemeClr w14:val="tx1"/>
            </w14:solidFill>
          </w14:textFill>
        </w:rPr>
        <w:t>，注重凝练标志性学术成果，做好学科发展展望，结合国家中医药局、中国科协有关项目，以适当方式进行报告和发布。</w:t>
      </w:r>
      <w:r>
        <w:rPr>
          <w:rFonts w:ascii="仿宋" w:hAnsi="仿宋" w:eastAsia="仿宋" w:cs="仿宋"/>
          <w:color w:val="000000" w:themeColor="text1"/>
          <w:sz w:val="32"/>
          <w:szCs w:val="32"/>
          <w:shd w:val="clear" w:color="auto" w:fill="FFFFFF"/>
          <w14:textFill>
            <w14:solidFill>
              <w14:schemeClr w14:val="tx1"/>
            </w14:solidFill>
          </w14:textFill>
        </w:rPr>
        <w:t xml:space="preserve"> </w:t>
      </w:r>
    </w:p>
    <w:p>
      <w:pPr>
        <w:ind w:firstLine="64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6</w:t>
      </w:r>
      <w:r>
        <w:rPr>
          <w:rFonts w:ascii="仿宋" w:hAnsi="仿宋" w:eastAsia="仿宋" w:cs="仿宋"/>
          <w:b/>
          <w:bCs/>
          <w:color w:val="000000" w:themeColor="text1"/>
          <w:sz w:val="32"/>
          <w:szCs w:val="32"/>
          <w:shd w:val="clear" w:color="auto" w:fill="FFFFFF"/>
          <w14:textFill>
            <w14:solidFill>
              <w14:schemeClr w14:val="tx1"/>
            </w14:solidFill>
          </w14:textFill>
        </w:rPr>
        <w:t>.</w:t>
      </w:r>
      <w:r>
        <w:rPr>
          <w:rFonts w:hint="eastAsia" w:ascii="仿宋" w:hAnsi="仿宋" w:eastAsia="仿宋" w:cs="仿宋"/>
          <w:b/>
          <w:bCs/>
          <w:color w:val="000000" w:themeColor="text1"/>
          <w:sz w:val="32"/>
          <w:szCs w:val="32"/>
          <w:shd w:val="clear" w:color="auto" w:fill="FFFFFF"/>
          <w14:textFill>
            <w14:solidFill>
              <w14:schemeClr w14:val="tx1"/>
            </w14:solidFill>
          </w14:textFill>
        </w:rPr>
        <w:t>促进与学术期刊合作。</w:t>
      </w:r>
      <w:r>
        <w:rPr>
          <w:rFonts w:hint="eastAsia" w:ascii="仿宋" w:hAnsi="仿宋" w:eastAsia="仿宋" w:cs="仿宋"/>
          <w:color w:val="000000" w:themeColor="text1"/>
          <w:sz w:val="32"/>
          <w:szCs w:val="32"/>
          <w:shd w:val="clear" w:color="auto" w:fill="FFFFFF"/>
          <w14:textFill>
            <w14:solidFill>
              <w14:schemeClr w14:val="tx1"/>
            </w14:solidFill>
          </w14:textFill>
        </w:rPr>
        <w:t>发挥学术期刊激发创新思想、规范记录科学发现的优势，鼓励双方从近期与远期、宏观与微观、综合与深度等不同维度，共同策划学术活动、组织学术征文、设置专题专栏</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等</w:t>
      </w:r>
      <w:r>
        <w:rPr>
          <w:rFonts w:hint="eastAsia" w:ascii="仿宋" w:hAnsi="仿宋" w:eastAsia="仿宋" w:cs="仿宋"/>
          <w:color w:val="000000" w:themeColor="text1"/>
          <w:sz w:val="32"/>
          <w:szCs w:val="32"/>
          <w:shd w:val="clear" w:color="auto" w:fill="FFFFFF"/>
          <w14:textFill>
            <w14:solidFill>
              <w14:schemeClr w14:val="tx1"/>
            </w14:solidFill>
          </w14:textFill>
        </w:rPr>
        <w:t>，提供更多成果展示机会。</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14:textFill>
            <w14:solidFill>
              <w14:schemeClr w14:val="tx1"/>
            </w14:solidFill>
          </w14:textFill>
        </w:rPr>
        <w:t>（三）打造学术品牌</w:t>
      </w:r>
    </w:p>
    <w:p>
      <w:pPr>
        <w:spacing w:line="60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7</w:t>
      </w:r>
      <w:r>
        <w:rPr>
          <w:rFonts w:ascii="仿宋" w:hAnsi="仿宋" w:eastAsia="仿宋" w:cs="仿宋"/>
          <w:b/>
          <w:bCs/>
          <w:color w:val="000000" w:themeColor="text1"/>
          <w:sz w:val="32"/>
          <w:szCs w:val="32"/>
          <w:shd w:val="clear" w:color="auto" w:fill="FFFFFF"/>
          <w14:textFill>
            <w14:solidFill>
              <w14:schemeClr w14:val="tx1"/>
            </w14:solidFill>
          </w14:textFill>
        </w:rPr>
        <w:t>.</w:t>
      </w:r>
      <w:r>
        <w:rPr>
          <w:rFonts w:hint="eastAsia" w:ascii="仿宋" w:hAnsi="仿宋" w:eastAsia="仿宋" w:cs="仿宋"/>
          <w:b/>
          <w:bCs/>
          <w:color w:val="000000" w:themeColor="text1"/>
          <w:sz w:val="32"/>
          <w:szCs w:val="32"/>
          <w:shd w:val="clear" w:color="auto" w:fill="FFFFFF"/>
          <w14:textFill>
            <w14:solidFill>
              <w14:schemeClr w14:val="tx1"/>
            </w14:solidFill>
          </w14:textFill>
        </w:rPr>
        <w:t>办好“岐黄论坛”等品牌学术会议。</w:t>
      </w:r>
      <w:r>
        <w:rPr>
          <w:rFonts w:ascii="仿宋" w:hAnsi="仿宋" w:eastAsia="仿宋" w:cs="仿宋"/>
          <w:color w:val="000000" w:themeColor="text1"/>
          <w:sz w:val="32"/>
          <w:szCs w:val="32"/>
          <w:shd w:val="clear" w:color="auto" w:fill="FFFFFF"/>
          <w14:textFill>
            <w14:solidFill>
              <w14:schemeClr w14:val="tx1"/>
            </w14:solidFill>
          </w14:textFill>
        </w:rPr>
        <w:t>突出高端引领、交叉融合、国际视野，</w:t>
      </w:r>
      <w:r>
        <w:rPr>
          <w:rFonts w:hint="eastAsia" w:ascii="仿宋" w:hAnsi="仿宋" w:eastAsia="仿宋" w:cs="仿宋"/>
          <w:color w:val="000000" w:themeColor="text1"/>
          <w:sz w:val="32"/>
          <w:szCs w:val="32"/>
          <w:shd w:val="clear" w:color="auto" w:fill="FFFFFF"/>
          <w14:textFill>
            <w14:solidFill>
              <w14:schemeClr w14:val="tx1"/>
            </w14:solidFill>
          </w14:textFill>
        </w:rPr>
        <w:t>建立跨学科、宽领域、多层次的学术交流机制，将“岐黄论坛”打造成为学会最具影响力的学术交流平台，推动更多品牌学术活动列入中国科协年度重要学术会议指南。</w:t>
      </w:r>
    </w:p>
    <w:p>
      <w:pPr>
        <w:spacing w:line="60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8</w:t>
      </w:r>
      <w:r>
        <w:rPr>
          <w:rFonts w:ascii="仿宋" w:hAnsi="仿宋" w:eastAsia="仿宋" w:cs="仿宋"/>
          <w:b/>
          <w:bCs/>
          <w:color w:val="000000" w:themeColor="text1"/>
          <w:sz w:val="32"/>
          <w:szCs w:val="32"/>
          <w:shd w:val="clear" w:color="auto" w:fill="FFFFFF"/>
          <w14:textFill>
            <w14:solidFill>
              <w14:schemeClr w14:val="tx1"/>
            </w14:solidFill>
          </w14:textFill>
        </w:rPr>
        <w:t>.</w:t>
      </w:r>
      <w:r>
        <w:rPr>
          <w:rFonts w:hint="eastAsia" w:ascii="仿宋" w:hAnsi="仿宋" w:eastAsia="仿宋" w:cs="仿宋"/>
          <w:b/>
          <w:bCs/>
          <w:color w:val="000000" w:themeColor="text1"/>
          <w:sz w:val="32"/>
          <w:szCs w:val="32"/>
          <w:shd w:val="clear" w:color="auto" w:fill="FFFFFF"/>
          <w14:textFill>
            <w14:solidFill>
              <w14:schemeClr w14:val="tx1"/>
            </w14:solidFill>
          </w14:textFill>
        </w:rPr>
        <w:t>提高学术评价重点项目影响力。</w:t>
      </w:r>
      <w:r>
        <w:rPr>
          <w:rFonts w:hint="eastAsia" w:ascii="仿宋" w:hAnsi="仿宋" w:eastAsia="仿宋" w:cs="仿宋"/>
          <w:color w:val="000000" w:themeColor="text1"/>
          <w:sz w:val="32"/>
          <w:szCs w:val="32"/>
          <w:shd w:val="clear" w:color="auto" w:fill="FFFFFF"/>
          <w14:textFill>
            <w14:solidFill>
              <w14:schemeClr w14:val="tx1"/>
            </w14:solidFill>
          </w14:textFill>
        </w:rPr>
        <w:t>主动关注和接受申报相结合，持续开展“年度中医药十大学术进展”遴选及报告发布，树立学术发展风向标。深化开展中医药专科和学科学术影响力评价，进一步完善评价体系，拓宽评价范围，以评价促发展。</w:t>
      </w:r>
    </w:p>
    <w:p>
      <w:pPr>
        <w:pStyle w:val="2"/>
        <w:spacing w:line="600" w:lineRule="exact"/>
        <w:ind w:left="0" w:leftChars="0"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ascii="仿宋" w:hAnsi="仿宋" w:eastAsia="仿宋" w:cs="仿宋"/>
          <w:b/>
          <w:bCs/>
          <w:color w:val="000000" w:themeColor="text1"/>
          <w:sz w:val="32"/>
          <w:szCs w:val="32"/>
          <w:shd w:val="clear" w:color="auto" w:fill="FFFFFF"/>
          <w14:textFill>
            <w14:solidFill>
              <w14:schemeClr w14:val="tx1"/>
            </w14:solidFill>
          </w14:textFill>
        </w:rPr>
        <w:t>9.</w:t>
      </w:r>
      <w:r>
        <w:rPr>
          <w:rFonts w:hint="eastAsia" w:ascii="仿宋" w:hAnsi="仿宋" w:eastAsia="仿宋" w:cs="仿宋"/>
          <w:b/>
          <w:bCs/>
          <w:color w:val="000000" w:themeColor="text1"/>
          <w:sz w:val="32"/>
          <w:szCs w:val="32"/>
          <w:shd w:val="clear" w:color="auto" w:fill="FFFFFF"/>
          <w14:textFill>
            <w14:solidFill>
              <w14:schemeClr w14:val="tx1"/>
            </w14:solidFill>
          </w14:textFill>
        </w:rPr>
        <w:t>实施“中医标准创优计划”。</w:t>
      </w:r>
      <w:r>
        <w:rPr>
          <w:rFonts w:hint="eastAsia" w:ascii="仿宋" w:hAnsi="仿宋" w:eastAsia="仿宋" w:cs="仿宋"/>
          <w:color w:val="000000" w:themeColor="text1"/>
          <w:sz w:val="32"/>
          <w:szCs w:val="32"/>
          <w:shd w:val="clear" w:color="auto" w:fill="FFFFFF"/>
          <w14:textFill>
            <w14:solidFill>
              <w14:schemeClr w14:val="tx1"/>
            </w14:solidFill>
          </w14:textFill>
        </w:rPr>
        <w:t>以主动谋划、构建体系、形成闭环、提高质量为导向，做好中医标准体系顶层设计，加强人员培训，推动分工协作，落实谋划一批、制（修）订一批、采转一批、推广一批、评价一批等“五个一批”，实现滚动发展。</w:t>
      </w:r>
    </w:p>
    <w:p>
      <w:pPr>
        <w:pStyle w:val="2"/>
        <w:spacing w:line="600" w:lineRule="exact"/>
        <w:ind w:left="0" w:leftChars="0" w:firstLine="643"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shd w:val="clear" w:color="auto" w:fill="FFFFFF"/>
          <w14:textFill>
            <w14:solidFill>
              <w14:schemeClr w14:val="tx1"/>
            </w14:solidFill>
          </w14:textFill>
        </w:rPr>
        <w:t>10.</w:t>
      </w:r>
      <w:r>
        <w:rPr>
          <w:rFonts w:hint="eastAsia" w:ascii="仿宋" w:hAnsi="仿宋" w:eastAsia="仿宋" w:cs="仿宋"/>
          <w:b/>
          <w:bCs/>
          <w:color w:val="000000" w:themeColor="text1"/>
          <w:sz w:val="32"/>
          <w:szCs w:val="32"/>
          <w:shd w:val="clear" w:color="auto" w:fill="FFFFFF"/>
          <w14:textFill>
            <w14:solidFill>
              <w14:schemeClr w14:val="tx1"/>
            </w14:solidFill>
          </w14:textFill>
        </w:rPr>
        <w:t>推进一流期刊建设。</w:t>
      </w:r>
      <w:r>
        <w:rPr>
          <w:rFonts w:ascii="仿宋_GB2312" w:hAnsi="Times New Roman" w:eastAsia="仿宋_GB2312" w:cs="Times New Roman"/>
          <w:bCs/>
          <w:color w:val="000000" w:themeColor="text1"/>
          <w:sz w:val="32"/>
          <w:szCs w:val="32"/>
          <w14:textFill>
            <w14:solidFill>
              <w14:schemeClr w14:val="tx1"/>
            </w14:solidFill>
          </w14:textFill>
        </w:rPr>
        <w:t>加快实施世界一流期刊培育工程</w:t>
      </w:r>
      <w:r>
        <w:rPr>
          <w:rFonts w:hint="eastAsia" w:ascii="仿宋_GB2312" w:hAnsi="Times New Roman" w:eastAsia="仿宋_GB2312" w:cs="Times New Roman"/>
          <w:bCs/>
          <w:color w:val="000000" w:themeColor="text1"/>
          <w:sz w:val="32"/>
          <w:szCs w:val="32"/>
          <w14:textFill>
            <w14:solidFill>
              <w14:schemeClr w14:val="tx1"/>
            </w14:solidFill>
          </w14:textFill>
        </w:rPr>
        <w:t>，</w:t>
      </w:r>
      <w:r>
        <w:rPr>
          <w:rFonts w:ascii="仿宋_GB2312" w:hAnsi="Times New Roman" w:eastAsia="仿宋_GB2312" w:cs="Times New Roman"/>
          <w:bCs/>
          <w:color w:val="000000" w:themeColor="text1"/>
          <w:sz w:val="32"/>
          <w:szCs w:val="32"/>
          <w14:textFill>
            <w14:solidFill>
              <w14:schemeClr w14:val="tx1"/>
            </w14:solidFill>
          </w14:textFill>
        </w:rPr>
        <w:t>启动系列期刊编辑人才培养项目，开展中医药科技期刊分级目录制修订工作，发布中医药领域高质量科技期刊分级目录</w:t>
      </w:r>
      <w:r>
        <w:rPr>
          <w:rFonts w:hint="eastAsia" w:ascii="仿宋_GB2312" w:hAnsi="Times New Roman" w:eastAsia="仿宋_GB2312" w:cs="Times New Roman"/>
          <w:bCs/>
          <w:color w:val="000000" w:themeColor="text1"/>
          <w:sz w:val="32"/>
          <w:szCs w:val="32"/>
          <w14:textFill>
            <w14:solidFill>
              <w14:schemeClr w14:val="tx1"/>
            </w14:solidFill>
          </w14:textFill>
        </w:rPr>
        <w:t>，推动改革完善</w:t>
      </w:r>
      <w:r>
        <w:rPr>
          <w:rFonts w:ascii="仿宋_GB2312" w:hAnsi="Times New Roman" w:eastAsia="仿宋_GB2312" w:cs="Times New Roman"/>
          <w:bCs/>
          <w:color w:val="000000" w:themeColor="text1"/>
          <w:sz w:val="32"/>
          <w:szCs w:val="32"/>
          <w14:textFill>
            <w14:solidFill>
              <w14:schemeClr w14:val="tx1"/>
            </w14:solidFill>
          </w14:textFill>
        </w:rPr>
        <w:t>期刊管理、运营与评价等机制</w:t>
      </w:r>
      <w:r>
        <w:rPr>
          <w:rFonts w:hint="eastAsia" w:ascii="仿宋_GB2312" w:hAnsi="Times New Roman" w:eastAsia="仿宋_GB2312" w:cs="Times New Roman"/>
          <w:bCs/>
          <w:color w:val="000000" w:themeColor="text1"/>
          <w:sz w:val="32"/>
          <w:szCs w:val="32"/>
          <w14:textFill>
            <w14:solidFill>
              <w14:schemeClr w14:val="tx1"/>
            </w14:solidFill>
          </w14:textFill>
        </w:rPr>
        <w:t>，积极</w:t>
      </w:r>
      <w:r>
        <w:rPr>
          <w:rFonts w:ascii="仿宋_GB2312" w:hAnsi="Times New Roman" w:eastAsia="仿宋_GB2312" w:cs="Times New Roman"/>
          <w:bCs/>
          <w:color w:val="000000" w:themeColor="text1"/>
          <w:sz w:val="32"/>
          <w:szCs w:val="32"/>
          <w14:textFill>
            <w14:solidFill>
              <w14:schemeClr w14:val="tx1"/>
            </w14:solidFill>
          </w14:textFill>
        </w:rPr>
        <w:t>推进数字化、专业化、集团化、国际化进程。</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w:t>
      </w:r>
    </w:p>
    <w:p>
      <w:pPr>
        <w:spacing w:line="600" w:lineRule="exact"/>
        <w:ind w:firstLine="640" w:firstLineChars="200"/>
        <w:rPr>
          <w:rFonts w:ascii="楷体" w:hAnsi="楷体" w:eastAsia="楷体" w:cs="仿宋"/>
          <w:color w:val="000000" w:themeColor="text1"/>
          <w:sz w:val="32"/>
          <w:szCs w:val="32"/>
          <w:shd w:val="clear" w:color="auto" w:fill="FFFFFF"/>
          <w14:textFill>
            <w14:solidFill>
              <w14:schemeClr w14:val="tx1"/>
            </w14:solidFill>
          </w14:textFill>
        </w:rPr>
      </w:pPr>
      <w:r>
        <w:rPr>
          <w:rFonts w:hint="eastAsia" w:ascii="楷体" w:hAnsi="楷体" w:eastAsia="楷体" w:cs="仿宋"/>
          <w:color w:val="000000" w:themeColor="text1"/>
          <w:sz w:val="32"/>
          <w:szCs w:val="32"/>
          <w:shd w:val="clear" w:color="auto" w:fill="FFFFFF"/>
          <w14:textFill>
            <w14:solidFill>
              <w14:schemeClr w14:val="tx1"/>
            </w14:solidFill>
          </w14:textFill>
        </w:rPr>
        <w:t>（四）培养优秀人才</w:t>
      </w:r>
    </w:p>
    <w:p>
      <w:pPr>
        <w:pStyle w:val="2"/>
        <w:ind w:left="0" w:leftChars="0"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1</w:t>
      </w:r>
      <w:r>
        <w:rPr>
          <w:rFonts w:ascii="仿宋" w:hAnsi="仿宋" w:eastAsia="仿宋" w:cs="仿宋"/>
          <w:b/>
          <w:bCs/>
          <w:color w:val="000000" w:themeColor="text1"/>
          <w:sz w:val="32"/>
          <w:szCs w:val="32"/>
          <w:shd w:val="clear" w:color="auto" w:fill="FFFFFF"/>
          <w14:textFill>
            <w14:solidFill>
              <w14:schemeClr w14:val="tx1"/>
            </w14:solidFill>
          </w14:textFill>
        </w:rPr>
        <w:t>1.</w:t>
      </w:r>
      <w:r>
        <w:rPr>
          <w:rFonts w:hint="eastAsia" w:ascii="仿宋" w:hAnsi="仿宋" w:eastAsia="仿宋" w:cs="仿宋"/>
          <w:b/>
          <w:bCs/>
          <w:color w:val="000000" w:themeColor="text1"/>
          <w:sz w:val="32"/>
          <w:szCs w:val="32"/>
          <w:shd w:val="clear" w:color="auto" w:fill="FFFFFF"/>
          <w14:textFill>
            <w14:solidFill>
              <w14:schemeClr w14:val="tx1"/>
            </w14:solidFill>
          </w14:textFill>
        </w:rPr>
        <w:t>扩大学会青年委员会影响力。</w:t>
      </w:r>
      <w:r>
        <w:rPr>
          <w:rFonts w:hint="eastAsia" w:ascii="仿宋" w:hAnsi="仿宋" w:eastAsia="仿宋" w:cs="仿宋"/>
          <w:color w:val="000000" w:themeColor="text1"/>
          <w:sz w:val="32"/>
          <w:szCs w:val="32"/>
          <w:shd w:val="clear" w:color="auto" w:fill="FFFFFF"/>
          <w14:textFill>
            <w14:solidFill>
              <w14:schemeClr w14:val="tx1"/>
            </w14:solidFill>
          </w14:textFill>
        </w:rPr>
        <w:t>推动青年委员会与高端智库建立有机衔接、分工协作的工作机制，支持青年委员会走进机关院校、组织学术沙龙、开展科普活动</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bookmarkStart w:id="0" w:name="_GoBack"/>
      <w:bookmarkEnd w:id="0"/>
      <w:r>
        <w:rPr>
          <w:rFonts w:hint="eastAsia" w:ascii="仿宋" w:hAnsi="仿宋" w:eastAsia="仿宋" w:cs="仿宋"/>
          <w:color w:val="000000" w:themeColor="text1"/>
          <w:sz w:val="32"/>
          <w:szCs w:val="32"/>
          <w:shd w:val="clear" w:color="auto" w:fill="FFFFFF"/>
          <w14:textFill>
            <w14:solidFill>
              <w14:schemeClr w14:val="tx1"/>
            </w14:solidFill>
          </w14:textFill>
        </w:rPr>
        <w:t>实施</w:t>
      </w:r>
      <w:r>
        <w:rPr>
          <w:rFonts w:hint="eastAsia" w:ascii="仿宋_GB2312" w:hAnsi="仿宋" w:eastAsia="仿宋_GB2312" w:cs="仿宋"/>
          <w:sz w:val="32"/>
          <w:szCs w:val="32"/>
        </w:rPr>
        <w:t>青年求实项目、</w:t>
      </w:r>
      <w:r>
        <w:rPr>
          <w:rFonts w:hint="eastAsia" w:ascii="仿宋" w:hAnsi="仿宋" w:eastAsia="仿宋" w:cs="仿宋"/>
          <w:color w:val="000000" w:themeColor="text1"/>
          <w:sz w:val="32"/>
          <w:szCs w:val="32"/>
          <w:shd w:val="clear" w:color="auto" w:fill="FFFFFF"/>
          <w14:textFill>
            <w14:solidFill>
              <w14:schemeClr w14:val="tx1"/>
            </w14:solidFill>
          </w14:textFill>
        </w:rPr>
        <w:t>积极建言献策，加大青年委员会研究成果的转化力度。</w:t>
      </w:r>
    </w:p>
    <w:p>
      <w:pPr>
        <w:ind w:firstLine="643" w:firstLineChars="200"/>
        <w:rPr>
          <w:rFonts w:hint="eastAsia" w:ascii="仿宋_GB2312" w:hAnsi="仿宋" w:eastAsia="仿宋_GB2312" w:cs="仿宋"/>
          <w:sz w:val="32"/>
          <w:szCs w:val="32"/>
          <w:lang w:val="en-US" w:eastAsia="zh-CN"/>
        </w:rPr>
      </w:pPr>
      <w:r>
        <w:rPr>
          <w:rFonts w:hint="eastAsia" w:ascii="仿宋" w:hAnsi="仿宋" w:eastAsia="仿宋" w:cs="仿宋"/>
          <w:b/>
          <w:bCs/>
          <w:color w:val="000000" w:themeColor="text1"/>
          <w:sz w:val="32"/>
          <w:szCs w:val="32"/>
          <w:shd w:val="clear" w:color="auto" w:fill="FFFFFF"/>
          <w14:textFill>
            <w14:solidFill>
              <w14:schemeClr w14:val="tx1"/>
            </w14:solidFill>
          </w14:textFill>
        </w:rPr>
        <w:t>1</w:t>
      </w:r>
      <w:r>
        <w:rPr>
          <w:rFonts w:ascii="仿宋" w:hAnsi="仿宋" w:eastAsia="仿宋" w:cs="仿宋"/>
          <w:b/>
          <w:bCs/>
          <w:color w:val="000000" w:themeColor="text1"/>
          <w:sz w:val="32"/>
          <w:szCs w:val="32"/>
          <w:shd w:val="clear" w:color="auto" w:fill="FFFFFF"/>
          <w14:textFill>
            <w14:solidFill>
              <w14:schemeClr w14:val="tx1"/>
            </w14:solidFill>
          </w14:textFill>
        </w:rPr>
        <w:t>2.</w:t>
      </w:r>
      <w:r>
        <w:rPr>
          <w:rFonts w:hint="eastAsia" w:ascii="仿宋" w:hAnsi="仿宋" w:eastAsia="仿宋" w:cs="仿宋"/>
          <w:b/>
          <w:bCs/>
          <w:color w:val="000000" w:themeColor="text1"/>
          <w:sz w:val="32"/>
          <w:szCs w:val="32"/>
          <w:shd w:val="clear" w:color="auto" w:fill="FFFFFF"/>
          <w14:textFill>
            <w14:solidFill>
              <w14:schemeClr w14:val="tx1"/>
            </w14:solidFill>
          </w14:textFill>
        </w:rPr>
        <w:t>支持青年人才加快成长。</w:t>
      </w:r>
      <w:r>
        <w:rPr>
          <w:rFonts w:hint="eastAsia" w:ascii="仿宋" w:hAnsi="仿宋" w:eastAsia="仿宋" w:cs="仿宋"/>
          <w:color w:val="000000" w:themeColor="text1"/>
          <w:sz w:val="32"/>
          <w:szCs w:val="32"/>
          <w:shd w:val="clear" w:color="auto" w:fill="FFFFFF"/>
          <w14:textFill>
            <w14:solidFill>
              <w14:schemeClr w14:val="tx1"/>
            </w14:solidFill>
          </w14:textFill>
        </w:rPr>
        <w:t>深入实施青年人才托举工程</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和雏鹰计划，</w:t>
      </w:r>
      <w:r>
        <w:rPr>
          <w:rFonts w:hint="eastAsia" w:ascii="仿宋_GB2312" w:hAnsi="仿宋" w:eastAsia="仿宋_GB2312" w:cs="仿宋"/>
          <w:sz w:val="32"/>
          <w:szCs w:val="32"/>
        </w:rPr>
        <w:t>协助</w:t>
      </w:r>
      <w:r>
        <w:rPr>
          <w:rFonts w:hint="eastAsia" w:ascii="仿宋_GB2312" w:hAnsi="仿宋" w:eastAsia="仿宋_GB2312" w:cs="仿宋"/>
          <w:sz w:val="32"/>
          <w:szCs w:val="32"/>
          <w:lang w:val="en-US" w:eastAsia="zh-CN"/>
        </w:rPr>
        <w:t>青年人才</w:t>
      </w:r>
      <w:r>
        <w:rPr>
          <w:rFonts w:hint="eastAsia" w:ascii="仿宋_GB2312" w:hAnsi="仿宋" w:eastAsia="仿宋_GB2312" w:cs="仿宋"/>
          <w:sz w:val="32"/>
          <w:szCs w:val="32"/>
        </w:rPr>
        <w:t>规划学术成长与发展路径。</w:t>
      </w:r>
      <w:r>
        <w:rPr>
          <w:rFonts w:hint="eastAsia" w:ascii="仿宋_GB2312" w:hAnsi="仿宋" w:eastAsia="仿宋_GB2312" w:cs="仿宋"/>
          <w:bCs/>
          <w:sz w:val="32"/>
          <w:szCs w:val="32"/>
        </w:rPr>
        <w:t>增强</w:t>
      </w:r>
      <w:r>
        <w:rPr>
          <w:rFonts w:hint="eastAsia" w:ascii="仿宋_GB2312" w:hAnsi="仿宋" w:eastAsia="仿宋_GB2312" w:cs="仿宋"/>
          <w:sz w:val="32"/>
          <w:szCs w:val="32"/>
        </w:rPr>
        <w:t>分支机构培养人才的功能，鼓励设置青年论坛，支持青年委员参与形式多样的学术交流活动，开展经典研习、带教查房、青年训练营等特色活动。</w:t>
      </w:r>
      <w:r>
        <w:rPr>
          <w:rFonts w:hint="eastAsia" w:ascii="仿宋_GB2312" w:hAnsi="仿宋" w:eastAsia="仿宋_GB2312" w:cs="仿宋"/>
          <w:sz w:val="32"/>
          <w:szCs w:val="32"/>
          <w:lang w:val="en-US" w:eastAsia="zh-CN"/>
        </w:rPr>
        <w:t xml:space="preserve"> </w:t>
      </w:r>
    </w:p>
    <w:p>
      <w:pPr>
        <w:ind w:firstLine="640" w:firstLineChars="200"/>
        <w:rPr>
          <w:rFonts w:hint="eastAsia" w:ascii="楷体" w:hAnsi="楷体" w:eastAsia="楷体" w:cs="仿宋"/>
          <w:color w:val="000000" w:themeColor="text1"/>
          <w:kern w:val="2"/>
          <w:sz w:val="32"/>
          <w:szCs w:val="32"/>
          <w:shd w:val="clear" w:color="auto" w:fill="FFFFFF"/>
          <w:lang w:val="en-US" w:eastAsia="zh-CN" w:bidi="ar-SA"/>
          <w14:textFill>
            <w14:solidFill>
              <w14:schemeClr w14:val="tx1"/>
            </w14:solidFill>
          </w14:textFill>
        </w:rPr>
      </w:pPr>
      <w:r>
        <w:rPr>
          <w:rFonts w:hint="eastAsia" w:ascii="楷体" w:hAnsi="楷体" w:eastAsia="楷体" w:cs="仿宋"/>
          <w:color w:val="000000" w:themeColor="text1"/>
          <w:kern w:val="2"/>
          <w:sz w:val="32"/>
          <w:szCs w:val="32"/>
          <w:shd w:val="clear" w:color="auto" w:fill="FFFFFF"/>
          <w:lang w:val="en-US" w:eastAsia="zh-CN" w:bidi="ar-SA"/>
          <w14:textFill>
            <w14:solidFill>
              <w14:schemeClr w14:val="tx1"/>
            </w14:solidFill>
          </w14:textFill>
        </w:rPr>
        <w:t>（五）促进资源整合共享</w:t>
      </w:r>
    </w:p>
    <w:p>
      <w:pPr>
        <w:ind w:firstLine="643" w:firstLineChars="200"/>
        <w:rPr>
          <w:rFonts w:hint="eastAsia" w:ascii="仿宋_GB2312" w:hAnsi="仿宋" w:eastAsia="仿宋_GB2312" w:cs="仿宋"/>
          <w:sz w:val="32"/>
          <w:szCs w:val="32"/>
          <w:lang w:val="en-US" w:eastAsia="zh-CN"/>
        </w:rPr>
      </w:pPr>
      <w:r>
        <w:rPr>
          <w:rFonts w:hint="eastAsia" w:ascii="仿宋" w:hAnsi="仿宋" w:eastAsia="仿宋" w:cs="仿宋"/>
          <w:b/>
          <w:bCs/>
          <w:color w:val="000000" w:themeColor="text1"/>
          <w:sz w:val="32"/>
          <w:szCs w:val="32"/>
          <w:shd w:val="clear" w:color="auto" w:fill="FFFFFF"/>
          <w:lang w:val="en-US" w:eastAsia="zh-CN"/>
          <w14:textFill>
            <w14:solidFill>
              <w14:schemeClr w14:val="tx1"/>
            </w14:solidFill>
          </w14:textFill>
        </w:rPr>
        <w:t>13.搭建共享平台。</w:t>
      </w:r>
      <w:r>
        <w:rPr>
          <w:rFonts w:hint="eastAsia" w:ascii="仿宋_GB2312" w:hAnsi="仿宋" w:eastAsia="仿宋_GB2312" w:cs="仿宋"/>
          <w:sz w:val="32"/>
          <w:szCs w:val="32"/>
          <w:lang w:val="en-US" w:eastAsia="zh-CN"/>
        </w:rPr>
        <w:t>深入调研掌握实情，进一步摸清临床、科研、产业等行业内单位的实际需求。重点围绕未被满足的需求，组织开展供需对接、学术研讨、科研攻关等活动，着力解决实际问题。</w:t>
      </w:r>
    </w:p>
    <w:p>
      <w:pPr>
        <w:ind w:firstLine="643" w:firstLineChars="200"/>
        <w:rPr>
          <w:rFonts w:hint="default" w:ascii="仿宋_GB2312" w:hAnsi="仿宋" w:eastAsia="仿宋_GB2312" w:cs="仿宋"/>
          <w:sz w:val="32"/>
          <w:szCs w:val="32"/>
          <w:lang w:val="en-US" w:eastAsia="zh-CN"/>
        </w:rPr>
      </w:pPr>
      <w:r>
        <w:rPr>
          <w:rFonts w:hint="eastAsia" w:ascii="仿宋" w:hAnsi="仿宋" w:eastAsia="仿宋" w:cs="仿宋"/>
          <w:b/>
          <w:bCs/>
          <w:color w:val="000000" w:themeColor="text1"/>
          <w:sz w:val="32"/>
          <w:szCs w:val="32"/>
          <w:shd w:val="clear" w:color="auto" w:fill="FFFFFF"/>
          <w:lang w:val="en-US" w:eastAsia="zh-CN"/>
          <w14:textFill>
            <w14:solidFill>
              <w14:schemeClr w14:val="tx1"/>
            </w14:solidFill>
          </w14:textFill>
        </w:rPr>
        <w:t>14.开展交流合作。</w:t>
      </w:r>
      <w:r>
        <w:rPr>
          <w:rFonts w:hint="eastAsia" w:ascii="仿宋_GB2312" w:hAnsi="仿宋" w:eastAsia="仿宋_GB2312" w:cs="仿宋"/>
          <w:sz w:val="32"/>
          <w:szCs w:val="32"/>
          <w:lang w:val="en-US" w:eastAsia="zh-CN"/>
        </w:rPr>
        <w:t>立足境内，连接港澳台，面向国际，积极推动与海外优势资源的交流合作，促进互学互鉴、优势互补、共同提高。</w:t>
      </w:r>
    </w:p>
    <w:p>
      <w:pPr>
        <w:spacing w:line="60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五、保障措施</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仿宋"/>
          <w:color w:val="000000" w:themeColor="text1"/>
          <w:sz w:val="32"/>
          <w:szCs w:val="32"/>
          <w:shd w:val="clear" w:color="auto" w:fill="FFFFFF"/>
          <w14:textFill>
            <w14:solidFill>
              <w14:schemeClr w14:val="tx1"/>
            </w14:solidFill>
          </w14:textFill>
        </w:rPr>
        <w:t>（一）加强组织领导。</w:t>
      </w:r>
      <w:r>
        <w:rPr>
          <w:rFonts w:hint="eastAsia" w:ascii="仿宋" w:hAnsi="仿宋" w:eastAsia="仿宋" w:cs="仿宋"/>
          <w:color w:val="000000" w:themeColor="text1"/>
          <w:sz w:val="32"/>
          <w:szCs w:val="32"/>
          <w:shd w:val="clear" w:color="auto" w:fill="FFFFFF"/>
          <w14:textFill>
            <w14:solidFill>
              <w14:schemeClr w14:val="tx1"/>
            </w14:solidFill>
          </w14:textFill>
        </w:rPr>
        <w:t>学会建立专项工作小组，加强对“学术引领年”活动的统筹研究和整体推动，铺排重点任务，评估工作进展，督促抓好落实。</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仿宋"/>
          <w:color w:val="000000" w:themeColor="text1"/>
          <w:sz w:val="32"/>
          <w:szCs w:val="32"/>
          <w:shd w:val="clear" w:color="auto" w:fill="FFFFFF"/>
          <w14:textFill>
            <w14:solidFill>
              <w14:schemeClr w14:val="tx1"/>
            </w14:solidFill>
          </w14:textFill>
        </w:rPr>
        <w:t>（二）开展调查研究。</w:t>
      </w:r>
      <w:r>
        <w:rPr>
          <w:rFonts w:hint="eastAsia" w:ascii="仿宋" w:hAnsi="仿宋" w:eastAsia="仿宋" w:cs="仿宋"/>
          <w:color w:val="000000" w:themeColor="text1"/>
          <w:sz w:val="32"/>
          <w:szCs w:val="32"/>
          <w:shd w:val="clear" w:color="auto" w:fill="FFFFFF"/>
          <w14:textFill>
            <w14:solidFill>
              <w14:schemeClr w14:val="tx1"/>
            </w14:solidFill>
          </w14:textFill>
        </w:rPr>
        <w:t>广泛听取中医药科技工作者对提升学会学术引领力的意见建议，了解兄弟学会的好经验好做法，进一步聚焦问题和思路举措，不断优化工作方案。</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仿宋"/>
          <w:color w:val="000000" w:themeColor="text1"/>
          <w:sz w:val="32"/>
          <w:szCs w:val="32"/>
          <w:shd w:val="clear" w:color="auto" w:fill="FFFFFF"/>
          <w14:textFill>
            <w14:solidFill>
              <w14:schemeClr w14:val="tx1"/>
            </w14:solidFill>
          </w14:textFill>
        </w:rPr>
        <w:t>（三）改革评价体系。</w:t>
      </w:r>
      <w:r>
        <w:rPr>
          <w:rFonts w:hint="eastAsia" w:ascii="仿宋" w:hAnsi="仿宋" w:eastAsia="仿宋" w:cs="仿宋"/>
          <w:color w:val="000000" w:themeColor="text1"/>
          <w:sz w:val="32"/>
          <w:szCs w:val="32"/>
          <w:shd w:val="clear" w:color="auto" w:fill="FFFFFF"/>
          <w14:textFill>
            <w14:solidFill>
              <w14:schemeClr w14:val="tx1"/>
            </w14:solidFill>
          </w14:textFill>
        </w:rPr>
        <w:t>做好分支机构学术活动评价，将分支机构考核的重点由过程管理逐步转到推动学科发展和学术进步上来，并建立经验交流机制，以评促改、以评促建。</w:t>
      </w:r>
    </w:p>
    <w:p>
      <w:pPr>
        <w:spacing w:line="600" w:lineRule="exac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仿宋"/>
          <w:color w:val="000000" w:themeColor="text1"/>
          <w:sz w:val="32"/>
          <w:szCs w:val="32"/>
          <w:shd w:val="clear" w:color="auto" w:fill="FFFFFF"/>
          <w14:textFill>
            <w14:solidFill>
              <w14:schemeClr w14:val="tx1"/>
            </w14:solidFill>
          </w14:textFill>
        </w:rPr>
        <w:t>（四）落实分工协作。</w:t>
      </w:r>
      <w:r>
        <w:rPr>
          <w:rFonts w:hint="eastAsia" w:ascii="仿宋" w:hAnsi="仿宋" w:eastAsia="仿宋" w:cs="仿宋"/>
          <w:color w:val="000000" w:themeColor="text1"/>
          <w:sz w:val="32"/>
          <w:szCs w:val="32"/>
          <w:shd w:val="clear" w:color="auto" w:fill="FFFFFF"/>
          <w14:textFill>
            <w14:solidFill>
              <w14:schemeClr w14:val="tx1"/>
            </w14:solidFill>
          </w14:textFill>
        </w:rPr>
        <w:t>指导推动分支机构等完善内部分工协作机制，明确责任分工，建立定期会议制度和学术活动长效机制，形成常态化研究工作并抓好落实的工作闭环。</w:t>
      </w:r>
    </w:p>
    <w:p>
      <w:pPr>
        <w:pStyle w:val="2"/>
        <w:ind w:left="0" w:leftChars="0"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仿宋"/>
          <w:color w:val="000000" w:themeColor="text1"/>
          <w:sz w:val="32"/>
          <w:szCs w:val="32"/>
          <w:shd w:val="clear" w:color="auto" w:fill="FFFFFF"/>
          <w14:textFill>
            <w14:solidFill>
              <w14:schemeClr w14:val="tx1"/>
            </w14:solidFill>
          </w14:textFill>
        </w:rPr>
        <w:t>（五）营造良好氛围。</w:t>
      </w:r>
      <w:r>
        <w:rPr>
          <w:rFonts w:hint="eastAsia" w:ascii="仿宋_GB2312" w:hAnsi="仿宋" w:eastAsia="仿宋_GB2312"/>
          <w:color w:val="000000"/>
          <w:sz w:val="32"/>
          <w:szCs w:val="32"/>
        </w:rPr>
        <w:t>开展科学道德和学风建设宣讲活动，大力宣传仁心仁术名老中医药专家的先进事迹和榜样作用，涵养优良学风，培育创新文化，</w:t>
      </w:r>
      <w:r>
        <w:rPr>
          <w:rFonts w:hint="eastAsia" w:ascii="仿宋" w:hAnsi="仿宋" w:eastAsia="仿宋" w:cs="仿宋"/>
          <w:color w:val="000000" w:themeColor="text1"/>
          <w:sz w:val="32"/>
          <w:szCs w:val="32"/>
          <w:shd w:val="clear" w:color="auto" w:fill="FFFFFF"/>
          <w14:textFill>
            <w14:solidFill>
              <w14:schemeClr w14:val="tx1"/>
            </w14:solidFill>
          </w14:textFill>
        </w:rPr>
        <w:t>弘扬科学精神和科学家精神。</w:t>
      </w:r>
    </w:p>
    <w:sectPr>
      <w:footerReference r:id="rId3" w:type="default"/>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667B5C-64A2-4666-9E0B-2EBFE7671D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1BBBE1E-622C-42D4-BFEA-C61066AF0C4D}"/>
  </w:font>
  <w:font w:name="仿宋">
    <w:panose1 w:val="02010609060101010101"/>
    <w:charset w:val="86"/>
    <w:family w:val="modern"/>
    <w:pitch w:val="default"/>
    <w:sig w:usb0="800002BF" w:usb1="38CF7CFA" w:usb2="00000016" w:usb3="00000000" w:csb0="00040001" w:csb1="00000000"/>
    <w:embedRegular r:id="rId3" w:fontKey="{E13D20D6-4D93-43DB-9A85-94591736936E}"/>
  </w:font>
  <w:font w:name="楷体">
    <w:panose1 w:val="02010609060101010101"/>
    <w:charset w:val="86"/>
    <w:family w:val="modern"/>
    <w:pitch w:val="default"/>
    <w:sig w:usb0="800002BF" w:usb1="38CF7CFA" w:usb2="00000016" w:usb3="00000000" w:csb0="00040001" w:csb1="00000000"/>
    <w:embedRegular r:id="rId4" w:fontKey="{941FD2A0-F6FD-4AF8-AFAF-D6BAA42A844B}"/>
  </w:font>
  <w:font w:name="仿宋_GB2312">
    <w:altName w:val="仿宋"/>
    <w:panose1 w:val="00000000000000000000"/>
    <w:charset w:val="86"/>
    <w:family w:val="modern"/>
    <w:pitch w:val="default"/>
    <w:sig w:usb0="00000000" w:usb1="00000000" w:usb2="00000010" w:usb3="00000000" w:csb0="00040000" w:csb1="00000000"/>
    <w:embedRegular r:id="rId5" w:fontKey="{41591109-DF76-42E8-BD3A-BF19E190F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jc1YjYyNWY0YWE3NjEyODY2MDc3ZjI3Y2M2YjgifQ=="/>
  </w:docVars>
  <w:rsids>
    <w:rsidRoot w:val="37B910A6"/>
    <w:rsid w:val="00023CA6"/>
    <w:rsid w:val="000A3969"/>
    <w:rsid w:val="000C2AAB"/>
    <w:rsid w:val="000F7478"/>
    <w:rsid w:val="00102C34"/>
    <w:rsid w:val="00115398"/>
    <w:rsid w:val="002009A9"/>
    <w:rsid w:val="00234CAA"/>
    <w:rsid w:val="00265ADD"/>
    <w:rsid w:val="002A6F59"/>
    <w:rsid w:val="002C7421"/>
    <w:rsid w:val="002F34DA"/>
    <w:rsid w:val="002F7103"/>
    <w:rsid w:val="003317BC"/>
    <w:rsid w:val="00332030"/>
    <w:rsid w:val="003740FD"/>
    <w:rsid w:val="003771F6"/>
    <w:rsid w:val="00377D5F"/>
    <w:rsid w:val="003D1BF9"/>
    <w:rsid w:val="003E4DEE"/>
    <w:rsid w:val="00414C0B"/>
    <w:rsid w:val="004344E5"/>
    <w:rsid w:val="004A0B6C"/>
    <w:rsid w:val="004E5BFE"/>
    <w:rsid w:val="004F13E2"/>
    <w:rsid w:val="005059DA"/>
    <w:rsid w:val="005730C0"/>
    <w:rsid w:val="005B22B5"/>
    <w:rsid w:val="005B3D0B"/>
    <w:rsid w:val="00626C6D"/>
    <w:rsid w:val="00646EF0"/>
    <w:rsid w:val="006C4B21"/>
    <w:rsid w:val="006E2B25"/>
    <w:rsid w:val="006E49A2"/>
    <w:rsid w:val="00703A6B"/>
    <w:rsid w:val="00722D3B"/>
    <w:rsid w:val="009F45C1"/>
    <w:rsid w:val="00AF5536"/>
    <w:rsid w:val="00B01A7A"/>
    <w:rsid w:val="00B30FBC"/>
    <w:rsid w:val="00BA2AC4"/>
    <w:rsid w:val="00BA76B2"/>
    <w:rsid w:val="00BE0CD3"/>
    <w:rsid w:val="00C43DA7"/>
    <w:rsid w:val="00D65902"/>
    <w:rsid w:val="00D84FC3"/>
    <w:rsid w:val="00DB0E7F"/>
    <w:rsid w:val="00DE475B"/>
    <w:rsid w:val="00DE7730"/>
    <w:rsid w:val="00E12FF1"/>
    <w:rsid w:val="00E20C3E"/>
    <w:rsid w:val="00E759EF"/>
    <w:rsid w:val="00F230DB"/>
    <w:rsid w:val="00F7681F"/>
    <w:rsid w:val="00F76ADC"/>
    <w:rsid w:val="00FA3153"/>
    <w:rsid w:val="0106649D"/>
    <w:rsid w:val="01C846A9"/>
    <w:rsid w:val="03630182"/>
    <w:rsid w:val="03E251EF"/>
    <w:rsid w:val="0449381C"/>
    <w:rsid w:val="049704F8"/>
    <w:rsid w:val="0642645D"/>
    <w:rsid w:val="072A5995"/>
    <w:rsid w:val="096845B7"/>
    <w:rsid w:val="098668AE"/>
    <w:rsid w:val="0A56668E"/>
    <w:rsid w:val="0C77683F"/>
    <w:rsid w:val="0D7B271D"/>
    <w:rsid w:val="10FC40BA"/>
    <w:rsid w:val="1229257D"/>
    <w:rsid w:val="133D28B3"/>
    <w:rsid w:val="133E28B7"/>
    <w:rsid w:val="18AA46F1"/>
    <w:rsid w:val="1C9B00C2"/>
    <w:rsid w:val="1D79299B"/>
    <w:rsid w:val="200222D1"/>
    <w:rsid w:val="2051083A"/>
    <w:rsid w:val="25083B4D"/>
    <w:rsid w:val="26A35C8C"/>
    <w:rsid w:val="276173D5"/>
    <w:rsid w:val="282566E3"/>
    <w:rsid w:val="2FD065DE"/>
    <w:rsid w:val="300264F2"/>
    <w:rsid w:val="3116686D"/>
    <w:rsid w:val="356C2617"/>
    <w:rsid w:val="37B910A6"/>
    <w:rsid w:val="38940ADE"/>
    <w:rsid w:val="38EB1B9D"/>
    <w:rsid w:val="3CBB2353"/>
    <w:rsid w:val="3D4F58F7"/>
    <w:rsid w:val="3DB14918"/>
    <w:rsid w:val="3DB602F6"/>
    <w:rsid w:val="3EFF11A0"/>
    <w:rsid w:val="40D26727"/>
    <w:rsid w:val="42F53DD2"/>
    <w:rsid w:val="431F2A8C"/>
    <w:rsid w:val="441970FF"/>
    <w:rsid w:val="448F363B"/>
    <w:rsid w:val="4AA37AE5"/>
    <w:rsid w:val="4B5D6832"/>
    <w:rsid w:val="4D76587D"/>
    <w:rsid w:val="4E235006"/>
    <w:rsid w:val="4E3A1E2D"/>
    <w:rsid w:val="57B949BE"/>
    <w:rsid w:val="588B7E66"/>
    <w:rsid w:val="5C987041"/>
    <w:rsid w:val="618C0B82"/>
    <w:rsid w:val="62F23DC6"/>
    <w:rsid w:val="648C7198"/>
    <w:rsid w:val="651A442F"/>
    <w:rsid w:val="65896749"/>
    <w:rsid w:val="6F665D41"/>
    <w:rsid w:val="748F480E"/>
    <w:rsid w:val="79B36842"/>
    <w:rsid w:val="7D884B39"/>
    <w:rsid w:val="7E606F75"/>
    <w:rsid w:val="7F7E6786"/>
    <w:rsid w:val="F39FFBAB"/>
    <w:rsid w:val="F67EB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2823</Words>
  <Characters>2845</Characters>
  <Lines>19</Lines>
  <Paragraphs>5</Paragraphs>
  <TotalTime>177</TotalTime>
  <ScaleCrop>false</ScaleCrop>
  <LinksUpToDate>false</LinksUpToDate>
  <CharactersWithSpaces>2853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2023-01-12T07:26:00Z</dcterms:created>
  <dc:creator>徐静</dc:creator>
  <cp:lastModifiedBy>WPS_1641520570</cp:lastModifiedBy>
  <cp:lastPrinted>2023-07-19T08:33:00Z</cp:lastPrinted>
  <dcterms:modified xsi:type="dcterms:W3CDTF">2023-07-20T02:59:59Z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581B14ED4E03441CA2071251E4149F3A_13</vt:lpwstr>
  </property>
</Properties>
</file>