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C2079" w14:textId="4D672573" w:rsidR="00BD277D" w:rsidRDefault="00000000">
      <w:pPr>
        <w:spacing w:line="560" w:lineRule="exact"/>
        <w:jc w:val="center"/>
        <w:rPr>
          <w:rFonts w:ascii="方正小标宋简体" w:eastAsia="方正小标宋简体"/>
          <w:color w:val="000000"/>
          <w:spacing w:val="6"/>
          <w:sz w:val="44"/>
          <w:szCs w:val="44"/>
        </w:rPr>
      </w:pPr>
      <w:r>
        <w:rPr>
          <w:rFonts w:ascii="方正小标宋简体" w:eastAsia="方正小标宋简体" w:hint="eastAsia"/>
          <w:color w:val="000000"/>
          <w:spacing w:val="6"/>
          <w:sz w:val="44"/>
          <w:szCs w:val="44"/>
        </w:rPr>
        <w:t>2023“科创中国”中医药领域典型案例</w:t>
      </w:r>
    </w:p>
    <w:p w14:paraId="3316A966" w14:textId="5BCDDA41" w:rsidR="00BD277D" w:rsidRDefault="0081004E">
      <w:pPr>
        <w:spacing w:line="560" w:lineRule="exact"/>
        <w:jc w:val="center"/>
        <w:rPr>
          <w:rFonts w:ascii="仿宋_GB2312" w:eastAsia="仿宋_GB2312"/>
          <w:color w:val="000000"/>
          <w:spacing w:val="6"/>
          <w:sz w:val="32"/>
          <w:szCs w:val="32"/>
        </w:rPr>
      </w:pPr>
      <w:r w:rsidRPr="0081004E">
        <w:rPr>
          <w:rFonts w:ascii="仿宋_GB2312" w:eastAsia="仿宋_GB2312"/>
          <w:noProof/>
          <w:color w:val="000000"/>
          <w:spacing w:val="6"/>
          <w:sz w:val="32"/>
          <w:szCs w:val="32"/>
        </w:rPr>
        <w:drawing>
          <wp:anchor distT="0" distB="0" distL="114300" distR="114300" simplePos="0" relativeHeight="251675648" behindDoc="0" locked="0" layoutInCell="1" allowOverlap="1" wp14:anchorId="2066BA92" wp14:editId="033ACFFA">
            <wp:simplePos x="0" y="0"/>
            <wp:positionH relativeFrom="column">
              <wp:posOffset>109026</wp:posOffset>
            </wp:positionH>
            <wp:positionV relativeFrom="paragraph">
              <wp:posOffset>582654</wp:posOffset>
            </wp:positionV>
            <wp:extent cx="5615940" cy="3743325"/>
            <wp:effectExtent l="0" t="0" r="3810" b="9525"/>
            <wp:wrapTopAndBottom/>
            <wp:docPr id="1203076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5940" cy="3743325"/>
                    </a:xfrm>
                    <a:prstGeom prst="rect">
                      <a:avLst/>
                    </a:prstGeom>
                    <a:noFill/>
                    <a:ln>
                      <a:noFill/>
                    </a:ln>
                  </pic:spPr>
                </pic:pic>
              </a:graphicData>
            </a:graphic>
          </wp:anchor>
        </w:drawing>
      </w:r>
      <w:r w:rsidR="00000000">
        <w:rPr>
          <w:rFonts w:ascii="方正小标宋简体" w:eastAsia="方正小标宋简体" w:hint="eastAsia"/>
          <w:color w:val="000000"/>
          <w:spacing w:val="6"/>
          <w:sz w:val="44"/>
          <w:szCs w:val="44"/>
        </w:rPr>
        <w:t>发布</w:t>
      </w:r>
    </w:p>
    <w:p w14:paraId="655B5A0A" w14:textId="3D575E6A" w:rsidR="0081004E" w:rsidRDefault="0081004E" w:rsidP="0081004E">
      <w:pPr>
        <w:spacing w:line="560" w:lineRule="exact"/>
        <w:rPr>
          <w:rFonts w:ascii="仿宋_GB2312" w:eastAsia="仿宋_GB2312" w:hint="eastAsia"/>
          <w:noProof/>
          <w:color w:val="000000"/>
          <w:spacing w:val="6"/>
          <w:sz w:val="32"/>
          <w:szCs w:val="32"/>
        </w:rPr>
      </w:pPr>
    </w:p>
    <w:p w14:paraId="076D6B5A" w14:textId="7B3CC4EB" w:rsidR="00BD277D" w:rsidRDefault="00000000">
      <w:pPr>
        <w:spacing w:line="560" w:lineRule="exact"/>
        <w:ind w:firstLineChars="200" w:firstLine="664"/>
        <w:rPr>
          <w:rFonts w:ascii="仿宋_GB2312" w:eastAsia="仿宋_GB2312"/>
          <w:color w:val="000000"/>
          <w:spacing w:val="6"/>
          <w:sz w:val="32"/>
          <w:szCs w:val="32"/>
        </w:rPr>
      </w:pPr>
      <w:r>
        <w:rPr>
          <w:rFonts w:ascii="仿宋_GB2312" w:eastAsia="仿宋_GB2312" w:hint="eastAsia"/>
          <w:color w:val="000000"/>
          <w:spacing w:val="6"/>
          <w:sz w:val="32"/>
          <w:szCs w:val="32"/>
        </w:rPr>
        <w:t>2</w:t>
      </w:r>
      <w:r>
        <w:rPr>
          <w:rFonts w:ascii="仿宋_GB2312" w:eastAsia="仿宋_GB2312"/>
          <w:color w:val="000000"/>
          <w:spacing w:val="6"/>
          <w:sz w:val="32"/>
          <w:szCs w:val="32"/>
        </w:rPr>
        <w:t>023</w:t>
      </w:r>
      <w:r>
        <w:rPr>
          <w:rFonts w:ascii="仿宋_GB2312" w:eastAsia="仿宋_GB2312" w:hint="eastAsia"/>
          <w:color w:val="000000"/>
          <w:spacing w:val="6"/>
          <w:sz w:val="32"/>
          <w:szCs w:val="32"/>
        </w:rPr>
        <w:t>年1</w:t>
      </w:r>
      <w:r>
        <w:rPr>
          <w:rFonts w:ascii="仿宋_GB2312" w:eastAsia="仿宋_GB2312"/>
          <w:color w:val="000000"/>
          <w:spacing w:val="6"/>
          <w:sz w:val="32"/>
          <w:szCs w:val="32"/>
        </w:rPr>
        <w:t>0</w:t>
      </w:r>
      <w:r>
        <w:rPr>
          <w:rFonts w:ascii="仿宋_GB2312" w:eastAsia="仿宋_GB2312" w:hint="eastAsia"/>
          <w:color w:val="000000"/>
          <w:spacing w:val="6"/>
          <w:sz w:val="32"/>
          <w:szCs w:val="32"/>
        </w:rPr>
        <w:t>月3</w:t>
      </w:r>
      <w:r>
        <w:rPr>
          <w:rFonts w:ascii="仿宋_GB2312" w:eastAsia="仿宋_GB2312"/>
          <w:color w:val="000000"/>
          <w:spacing w:val="6"/>
          <w:sz w:val="32"/>
          <w:szCs w:val="32"/>
        </w:rPr>
        <w:t>1</w:t>
      </w:r>
      <w:r>
        <w:rPr>
          <w:rFonts w:ascii="仿宋_GB2312" w:eastAsia="仿宋_GB2312" w:hint="eastAsia"/>
          <w:color w:val="000000"/>
          <w:spacing w:val="6"/>
          <w:sz w:val="32"/>
          <w:szCs w:val="32"/>
        </w:rPr>
        <w:t>日，2</w:t>
      </w:r>
      <w:r>
        <w:rPr>
          <w:rFonts w:ascii="仿宋_GB2312" w:eastAsia="仿宋_GB2312"/>
          <w:color w:val="000000"/>
          <w:spacing w:val="6"/>
          <w:sz w:val="32"/>
          <w:szCs w:val="32"/>
        </w:rPr>
        <w:t>023</w:t>
      </w:r>
      <w:r>
        <w:rPr>
          <w:rFonts w:ascii="仿宋_GB2312" w:eastAsia="仿宋_GB2312" w:hint="eastAsia"/>
          <w:color w:val="000000"/>
          <w:spacing w:val="6"/>
          <w:sz w:val="32"/>
          <w:szCs w:val="32"/>
        </w:rPr>
        <w:t>“科创中国”中医药领域典型案例发布仪式在浙江嘉善举办。中国工程院张伯礼院士、丛斌院士，中华中医药学会副会长兼秘书长王国辰等领导和专家参加发布仪式。发布仪式由中华中医药学会发展研究办公室主任张霄潇主持。</w:t>
      </w:r>
    </w:p>
    <w:p w14:paraId="0BBBFF24" w14:textId="77777777" w:rsidR="00BD277D" w:rsidRDefault="00000000">
      <w:pPr>
        <w:spacing w:line="560" w:lineRule="exact"/>
        <w:ind w:firstLineChars="200" w:firstLine="664"/>
        <w:rPr>
          <w:rFonts w:ascii="仿宋_GB2312" w:eastAsia="仿宋_GB2312"/>
          <w:color w:val="000000"/>
          <w:spacing w:val="6"/>
          <w:sz w:val="32"/>
          <w:szCs w:val="32"/>
        </w:rPr>
      </w:pPr>
      <w:r>
        <w:rPr>
          <w:rFonts w:ascii="仿宋_GB2312" w:eastAsia="仿宋_GB2312" w:hint="eastAsia"/>
          <w:color w:val="000000"/>
          <w:spacing w:val="6"/>
          <w:sz w:val="32"/>
          <w:szCs w:val="32"/>
        </w:rPr>
        <w:t>会上，王国</w:t>
      </w:r>
      <w:proofErr w:type="gramStart"/>
      <w:r>
        <w:rPr>
          <w:rFonts w:ascii="仿宋_GB2312" w:eastAsia="仿宋_GB2312" w:hint="eastAsia"/>
          <w:color w:val="000000"/>
          <w:spacing w:val="6"/>
          <w:sz w:val="32"/>
          <w:szCs w:val="32"/>
        </w:rPr>
        <w:t>辰</w:t>
      </w:r>
      <w:proofErr w:type="gramEnd"/>
      <w:r>
        <w:rPr>
          <w:rFonts w:ascii="仿宋_GB2312" w:eastAsia="仿宋_GB2312" w:hint="eastAsia"/>
          <w:color w:val="000000"/>
          <w:spacing w:val="6"/>
          <w:sz w:val="32"/>
          <w:szCs w:val="32"/>
        </w:rPr>
        <w:t>宣布了入选项目名单，张伯礼院士、丛斌院士为入选项目颁发证书。</w:t>
      </w:r>
    </w:p>
    <w:p w14:paraId="4637B855" w14:textId="77777777" w:rsidR="00BD277D" w:rsidRDefault="00000000">
      <w:pPr>
        <w:spacing w:line="560" w:lineRule="exact"/>
        <w:ind w:firstLineChars="200" w:firstLine="640"/>
        <w:rPr>
          <w:rFonts w:eastAsia="仿宋_GB2312"/>
          <w:color w:val="000000"/>
          <w:spacing w:val="6"/>
          <w:sz w:val="32"/>
          <w:szCs w:val="32"/>
        </w:rPr>
      </w:pPr>
      <w:r>
        <w:rPr>
          <w:rFonts w:ascii="仿宋_GB2312" w:eastAsia="仿宋_GB2312" w:hint="eastAsia"/>
          <w:noProof/>
          <w:color w:val="000000"/>
          <w:spacing w:val="6"/>
          <w:sz w:val="32"/>
          <w:szCs w:val="32"/>
        </w:rPr>
        <w:lastRenderedPageBreak/>
        <w:drawing>
          <wp:anchor distT="0" distB="0" distL="114300" distR="114300" simplePos="0" relativeHeight="251674624" behindDoc="0" locked="0" layoutInCell="1" allowOverlap="1" wp14:anchorId="79F8AF00" wp14:editId="545E918E">
            <wp:simplePos x="0" y="0"/>
            <wp:positionH relativeFrom="column">
              <wp:posOffset>146050</wp:posOffset>
            </wp:positionH>
            <wp:positionV relativeFrom="paragraph">
              <wp:posOffset>113030</wp:posOffset>
            </wp:positionV>
            <wp:extent cx="5614670" cy="3742690"/>
            <wp:effectExtent l="0" t="0" r="11430" b="3810"/>
            <wp:wrapTopAndBottom/>
            <wp:docPr id="1" name="图片 1" descr="d0036c81895012f7d6fd42f2172a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36c81895012f7d6fd42f2172a727"/>
                    <pic:cNvPicPr>
                      <a:picLocks noChangeAspect="1"/>
                    </pic:cNvPicPr>
                  </pic:nvPicPr>
                  <pic:blipFill>
                    <a:blip r:embed="rId5"/>
                    <a:stretch>
                      <a:fillRect/>
                    </a:stretch>
                  </pic:blipFill>
                  <pic:spPr>
                    <a:xfrm>
                      <a:off x="0" y="0"/>
                      <a:ext cx="5614670" cy="3742690"/>
                    </a:xfrm>
                    <a:prstGeom prst="rect">
                      <a:avLst/>
                    </a:prstGeom>
                  </pic:spPr>
                </pic:pic>
              </a:graphicData>
            </a:graphic>
          </wp:anchor>
        </w:drawing>
      </w:r>
      <w:r>
        <w:rPr>
          <w:rFonts w:ascii="仿宋_GB2312" w:eastAsia="仿宋_GB2312" w:hint="eastAsia"/>
          <w:color w:val="000000"/>
          <w:spacing w:val="6"/>
          <w:sz w:val="32"/>
          <w:szCs w:val="32"/>
        </w:rPr>
        <w:t>王国</w:t>
      </w:r>
      <w:proofErr w:type="gramStart"/>
      <w:r>
        <w:rPr>
          <w:rFonts w:ascii="仿宋_GB2312" w:eastAsia="仿宋_GB2312" w:hint="eastAsia"/>
          <w:color w:val="000000"/>
          <w:spacing w:val="6"/>
          <w:sz w:val="32"/>
          <w:szCs w:val="32"/>
        </w:rPr>
        <w:t>辰</w:t>
      </w:r>
      <w:proofErr w:type="gramEnd"/>
      <w:r>
        <w:rPr>
          <w:rFonts w:ascii="仿宋_GB2312" w:eastAsia="仿宋_GB2312" w:hint="eastAsia"/>
          <w:color w:val="000000"/>
          <w:spacing w:val="6"/>
          <w:sz w:val="32"/>
          <w:szCs w:val="32"/>
        </w:rPr>
        <w:t>表示为了贯彻</w:t>
      </w:r>
      <w:r>
        <w:rPr>
          <w:rFonts w:eastAsia="仿宋_GB2312" w:hint="eastAsia"/>
          <w:color w:val="000000"/>
          <w:spacing w:val="6"/>
          <w:sz w:val="32"/>
          <w:szCs w:val="32"/>
        </w:rPr>
        <w:t>中国科协《“科创中国”三年行动计划（</w:t>
      </w:r>
      <w:r>
        <w:rPr>
          <w:rFonts w:eastAsia="仿宋_GB2312" w:hint="eastAsia"/>
          <w:color w:val="000000"/>
          <w:spacing w:val="6"/>
          <w:sz w:val="32"/>
          <w:szCs w:val="32"/>
        </w:rPr>
        <w:t>2021-2023</w:t>
      </w:r>
      <w:r>
        <w:rPr>
          <w:rFonts w:eastAsia="仿宋_GB2312" w:hint="eastAsia"/>
          <w:color w:val="000000"/>
          <w:spacing w:val="6"/>
          <w:sz w:val="32"/>
          <w:szCs w:val="32"/>
        </w:rPr>
        <w:t>）》文件内容和精神，学会开展了“科创中国”中医药领域典型案例遴选和发布工作。一方面是通过先导技术、融通创新组织、新锐企业、技术经理人等领域优秀的项目发挥示范引领作用，另一方面也是拓宽学会服务领域，满足行业高质量发展需要。下一步，学会将围绕入选项目通过系列专题沙龙、新闻专访等形式展开深入研讨和宣传，充分发挥学会的优势作用，激发中医药原创科技资源优势，</w:t>
      </w:r>
      <w:r>
        <w:rPr>
          <w:rFonts w:eastAsia="仿宋_GB2312"/>
          <w:color w:val="000000"/>
          <w:spacing w:val="6"/>
          <w:sz w:val="32"/>
          <w:szCs w:val="32"/>
        </w:rPr>
        <w:t>服务建设科技强国</w:t>
      </w:r>
      <w:r>
        <w:rPr>
          <w:rFonts w:eastAsia="仿宋_GB2312" w:hint="eastAsia"/>
          <w:color w:val="000000"/>
          <w:spacing w:val="6"/>
          <w:sz w:val="32"/>
          <w:szCs w:val="32"/>
        </w:rPr>
        <w:t>。</w:t>
      </w:r>
    </w:p>
    <w:p w14:paraId="62A76DD1" w14:textId="77777777" w:rsidR="00BD277D" w:rsidRDefault="00000000">
      <w:pPr>
        <w:spacing w:line="560" w:lineRule="exact"/>
        <w:ind w:firstLineChars="200" w:firstLine="584"/>
        <w:jc w:val="center"/>
        <w:rPr>
          <w:rFonts w:ascii="仿宋_GB2312" w:eastAsia="仿宋_GB2312"/>
          <w:i/>
          <w:iCs/>
          <w:color w:val="000000"/>
          <w:spacing w:val="6"/>
          <w:sz w:val="28"/>
          <w:szCs w:val="28"/>
          <w:u w:val="single"/>
        </w:rPr>
      </w:pPr>
      <w:r>
        <w:rPr>
          <w:rFonts w:ascii="仿宋_GB2312" w:eastAsia="仿宋_GB2312" w:hint="eastAsia"/>
          <w:i/>
          <w:iCs/>
          <w:color w:val="000000"/>
          <w:spacing w:val="6"/>
          <w:sz w:val="28"/>
          <w:szCs w:val="28"/>
          <w:u w:val="single"/>
        </w:rPr>
        <w:t>（插入分界线）</w:t>
      </w:r>
    </w:p>
    <w:p w14:paraId="4C2CDC11" w14:textId="77777777" w:rsidR="00BD277D" w:rsidRDefault="00000000">
      <w:pPr>
        <w:spacing w:line="560" w:lineRule="exact"/>
        <w:ind w:firstLineChars="200" w:firstLine="664"/>
        <w:rPr>
          <w:rFonts w:ascii="仿宋_GB2312" w:eastAsia="仿宋_GB2312"/>
          <w:color w:val="000000"/>
          <w:spacing w:val="6"/>
          <w:sz w:val="32"/>
          <w:szCs w:val="32"/>
        </w:rPr>
      </w:pPr>
      <w:r>
        <w:rPr>
          <w:rFonts w:ascii="仿宋_GB2312" w:eastAsia="仿宋_GB2312" w:hint="eastAsia"/>
          <w:color w:val="000000"/>
          <w:spacing w:val="6"/>
          <w:sz w:val="32"/>
          <w:szCs w:val="32"/>
        </w:rPr>
        <w:t>为</w:t>
      </w:r>
      <w:r>
        <w:rPr>
          <w:rFonts w:ascii="仿宋_GB2312" w:eastAsia="仿宋_GB2312" w:hint="eastAsia"/>
          <w:color w:val="000000"/>
          <w:sz w:val="32"/>
          <w:szCs w:val="32"/>
        </w:rPr>
        <w:t>贯彻落</w:t>
      </w:r>
      <w:proofErr w:type="gramStart"/>
      <w:r>
        <w:rPr>
          <w:rFonts w:ascii="仿宋_GB2312" w:eastAsia="仿宋_GB2312" w:hint="eastAsia"/>
          <w:color w:val="000000"/>
          <w:sz w:val="32"/>
          <w:szCs w:val="32"/>
        </w:rPr>
        <w:t>实习近</w:t>
      </w:r>
      <w:proofErr w:type="gramEnd"/>
      <w:r>
        <w:rPr>
          <w:rFonts w:ascii="仿宋_GB2312" w:eastAsia="仿宋_GB2312" w:hint="eastAsia"/>
          <w:color w:val="000000"/>
          <w:sz w:val="32"/>
          <w:szCs w:val="32"/>
        </w:rPr>
        <w:t>平总书记关于科技创新系列重要讲话和指示精神</w:t>
      </w:r>
      <w:r>
        <w:rPr>
          <w:rFonts w:ascii="仿宋_GB2312" w:eastAsia="仿宋_GB2312" w:hint="eastAsia"/>
          <w:color w:val="000000"/>
          <w:spacing w:val="6"/>
          <w:sz w:val="32"/>
          <w:szCs w:val="32"/>
        </w:rPr>
        <w:t>，充分激发中医药作为原创科技资源的优势和潜力，</w:t>
      </w:r>
      <w:r>
        <w:rPr>
          <w:rFonts w:ascii="仿宋_GB2312" w:eastAsia="仿宋_GB2312" w:hint="eastAsia"/>
          <w:color w:val="000000"/>
          <w:sz w:val="32"/>
          <w:szCs w:val="32"/>
        </w:rPr>
        <w:t>服务国家重大战略需求</w:t>
      </w:r>
      <w:r>
        <w:rPr>
          <w:rFonts w:ascii="仿宋_GB2312" w:eastAsia="仿宋_GB2312" w:hint="eastAsia"/>
          <w:color w:val="000000"/>
          <w:spacing w:val="6"/>
          <w:sz w:val="32"/>
          <w:szCs w:val="32"/>
        </w:rPr>
        <w:t>，</w:t>
      </w:r>
      <w:r>
        <w:rPr>
          <w:rFonts w:ascii="仿宋_GB2312" w:eastAsia="仿宋_GB2312" w:hint="eastAsia"/>
          <w:color w:val="000000"/>
          <w:sz w:val="32"/>
          <w:szCs w:val="32"/>
        </w:rPr>
        <w:t>促进中医药创新</w:t>
      </w:r>
      <w:proofErr w:type="gramStart"/>
      <w:r>
        <w:rPr>
          <w:rFonts w:ascii="仿宋_GB2312" w:eastAsia="仿宋_GB2312" w:hint="eastAsia"/>
          <w:color w:val="000000"/>
          <w:sz w:val="32"/>
          <w:szCs w:val="32"/>
        </w:rPr>
        <w:t>链产业</w:t>
      </w:r>
      <w:proofErr w:type="gramEnd"/>
      <w:r>
        <w:rPr>
          <w:rFonts w:ascii="仿宋_GB2312" w:eastAsia="仿宋_GB2312" w:hint="eastAsia"/>
          <w:color w:val="000000"/>
          <w:sz w:val="32"/>
          <w:szCs w:val="32"/>
        </w:rPr>
        <w:t>链深度融合，推进“科创中国”建设走向深入，按照中国科协遴选发布“科创中国”</w:t>
      </w:r>
      <w:r>
        <w:rPr>
          <w:rFonts w:ascii="仿宋_GB2312" w:eastAsia="仿宋_GB2312" w:hint="eastAsia"/>
          <w:color w:val="000000"/>
          <w:sz w:val="32"/>
          <w:szCs w:val="32"/>
        </w:rPr>
        <w:lastRenderedPageBreak/>
        <w:t>系列榜单要求和精神，中</w:t>
      </w:r>
      <w:r>
        <w:rPr>
          <w:rFonts w:ascii="仿宋_GB2312" w:eastAsia="仿宋_GB2312" w:hint="eastAsia"/>
          <w:color w:val="000000"/>
          <w:spacing w:val="6"/>
          <w:sz w:val="32"/>
          <w:szCs w:val="32"/>
        </w:rPr>
        <w:t>华中医药学会于2023年开展了“科创中国”中医药领域典型案例征集遴选工作。经公开征集、专家遴选，确定了2023“科创中国”中医药领域典型案例。</w:t>
      </w:r>
    </w:p>
    <w:p w14:paraId="70035CA7" w14:textId="77777777" w:rsidR="00BD277D" w:rsidRDefault="00000000">
      <w:pPr>
        <w:spacing w:line="600" w:lineRule="exact"/>
        <w:jc w:val="center"/>
        <w:rPr>
          <w:rFonts w:ascii="方正小标宋简体" w:eastAsia="方正小标宋简体"/>
          <w:bCs/>
          <w:sz w:val="44"/>
          <w:szCs w:val="44"/>
        </w:rPr>
      </w:pPr>
      <w:r>
        <w:rPr>
          <w:rFonts w:ascii="方正小标宋简体" w:eastAsia="方正小标宋简体" w:hint="eastAsia"/>
          <w:bCs/>
          <w:sz w:val="44"/>
          <w:szCs w:val="44"/>
        </w:rPr>
        <w:t>先导技术</w:t>
      </w:r>
    </w:p>
    <w:p w14:paraId="4C0662C3"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技术名称：</w:t>
      </w:r>
      <w:r>
        <w:rPr>
          <w:rFonts w:ascii="仿宋_GB2312" w:eastAsia="仿宋_GB2312" w:hint="eastAsia"/>
          <w:color w:val="000000"/>
          <w:spacing w:val="6"/>
          <w:sz w:val="32"/>
          <w:szCs w:val="32"/>
        </w:rPr>
        <w:t>基于“拟境栽培”的中药材生态种植技术</w:t>
      </w:r>
    </w:p>
    <w:p w14:paraId="2C07A27D"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所属团队：</w:t>
      </w:r>
      <w:r>
        <w:rPr>
          <w:rFonts w:ascii="仿宋_GB2312" w:eastAsia="仿宋_GB2312" w:hint="eastAsia"/>
          <w:color w:val="000000"/>
          <w:spacing w:val="6"/>
          <w:sz w:val="32"/>
          <w:szCs w:val="32"/>
        </w:rPr>
        <w:t>中国中医科学院中药研究所、昆明理工大学、湖北中医药大学、贵州中医药大学、山东省分析测试中心、皖西学院</w:t>
      </w:r>
    </w:p>
    <w:p w14:paraId="3BF17279"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技术简介：</w:t>
      </w:r>
      <w:bookmarkStart w:id="0" w:name="_Hlk148944896"/>
      <w:r>
        <w:rPr>
          <w:rFonts w:ascii="仿宋_GB2312" w:eastAsia="仿宋_GB2312" w:hint="eastAsia"/>
          <w:color w:val="000000"/>
          <w:spacing w:val="6"/>
          <w:sz w:val="32"/>
          <w:szCs w:val="32"/>
        </w:rPr>
        <w:t>针对化学农业带来的中药材质</w:t>
      </w:r>
      <w:proofErr w:type="gramStart"/>
      <w:r>
        <w:rPr>
          <w:rFonts w:ascii="仿宋_GB2312" w:eastAsia="仿宋_GB2312" w:hint="eastAsia"/>
          <w:color w:val="000000"/>
          <w:spacing w:val="6"/>
          <w:sz w:val="32"/>
          <w:szCs w:val="32"/>
        </w:rPr>
        <w:t>量安全</w:t>
      </w:r>
      <w:proofErr w:type="gramEnd"/>
      <w:r>
        <w:rPr>
          <w:rFonts w:ascii="仿宋_GB2312" w:eastAsia="仿宋_GB2312" w:hint="eastAsia"/>
          <w:color w:val="000000"/>
          <w:spacing w:val="6"/>
          <w:sz w:val="32"/>
          <w:szCs w:val="32"/>
        </w:rPr>
        <w:t>及环境安全问题，提出并</w:t>
      </w:r>
      <w:proofErr w:type="gramStart"/>
      <w:r>
        <w:rPr>
          <w:rFonts w:ascii="仿宋_GB2312" w:eastAsia="仿宋_GB2312" w:hint="eastAsia"/>
          <w:color w:val="000000"/>
          <w:spacing w:val="6"/>
          <w:sz w:val="32"/>
          <w:szCs w:val="32"/>
        </w:rPr>
        <w:t>践行</w:t>
      </w:r>
      <w:proofErr w:type="gramEnd"/>
      <w:r>
        <w:rPr>
          <w:rFonts w:ascii="仿宋_GB2312" w:eastAsia="仿宋_GB2312" w:hint="eastAsia"/>
          <w:color w:val="000000"/>
          <w:spacing w:val="6"/>
          <w:sz w:val="32"/>
          <w:szCs w:val="32"/>
        </w:rPr>
        <w:t>“不向农田抢地，不与草虫为敌，不惧山高林密，不负山青水绿”的中药生态农业宣言，首次提出并丰富了基于“逆境效应”的中药材“拟境栽培”生态种植理论，构建了质量优先的中药材生态种植评估指标体系。基于理论体系，通过</w:t>
      </w:r>
      <w:r>
        <w:rPr>
          <w:rFonts w:ascii="仿宋_GB2312" w:eastAsia="仿宋_GB2312"/>
          <w:color w:val="000000"/>
          <w:spacing w:val="6"/>
          <w:sz w:val="32"/>
          <w:szCs w:val="32"/>
        </w:rPr>
        <w:t>30多种中药材的综合效益评价，实现了中药材提质增效，证实了中药生态农业的可行性。另外：基于理论构建了中药材生态种植模式和配套技术体系。在系统层次上提炼出了景观模式、循环模式、立体模式、生物多样性模式和良种良法模式等5种基本模式，构建了120种中药材生态种植模式和配套技术，突破了传统化学农业栽培模式，成效明显。并在全国进行中药材生态种植服务及生产示范。发布中药材生态种植技术规范、规范化种植技术团体标准175项。线上线下培训人员超过数百万人次。</w:t>
      </w:r>
      <w:bookmarkEnd w:id="0"/>
    </w:p>
    <w:p w14:paraId="38C1565D" w14:textId="77777777" w:rsidR="00BD277D" w:rsidRDefault="00000000">
      <w:pPr>
        <w:spacing w:line="560" w:lineRule="exact"/>
        <w:rPr>
          <w:rFonts w:ascii="仿宋_GB2312" w:eastAsia="仿宋_GB2312"/>
          <w:b/>
          <w:bCs/>
          <w:color w:val="000000"/>
          <w:spacing w:val="6"/>
          <w:sz w:val="32"/>
          <w:szCs w:val="32"/>
        </w:rPr>
      </w:pPr>
      <w:r>
        <w:rPr>
          <w:rFonts w:ascii="仿宋_GB2312" w:eastAsia="仿宋_GB2312"/>
          <w:b/>
          <w:bCs/>
          <w:noProof/>
          <w:color w:val="000000"/>
          <w:spacing w:val="6"/>
          <w:sz w:val="32"/>
          <w:szCs w:val="32"/>
        </w:rPr>
        <w:lastRenderedPageBreak/>
        <w:drawing>
          <wp:anchor distT="0" distB="0" distL="114300" distR="114300" simplePos="0" relativeHeight="251666432" behindDoc="0" locked="0" layoutInCell="1" allowOverlap="1" wp14:anchorId="4B02C67B" wp14:editId="44854AFA">
            <wp:simplePos x="0" y="0"/>
            <wp:positionH relativeFrom="column">
              <wp:posOffset>133350</wp:posOffset>
            </wp:positionH>
            <wp:positionV relativeFrom="paragraph">
              <wp:posOffset>4162425</wp:posOffset>
            </wp:positionV>
            <wp:extent cx="4953635" cy="3714750"/>
            <wp:effectExtent l="0" t="0" r="0" b="0"/>
            <wp:wrapTopAndBottom/>
            <wp:docPr id="51788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8768"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953635" cy="3714750"/>
                    </a:xfrm>
                    <a:prstGeom prst="rect">
                      <a:avLst/>
                    </a:prstGeom>
                    <a:noFill/>
                    <a:ln>
                      <a:noFill/>
                    </a:ln>
                  </pic:spPr>
                </pic:pic>
              </a:graphicData>
            </a:graphic>
          </wp:anchor>
        </w:drawing>
      </w:r>
      <w:r>
        <w:rPr>
          <w:rFonts w:ascii="仿宋_GB2312" w:eastAsia="仿宋_GB2312"/>
          <w:b/>
          <w:bCs/>
          <w:color w:val="000000"/>
          <w:spacing w:val="6"/>
          <w:sz w:val="32"/>
          <w:szCs w:val="32"/>
        </w:rPr>
        <w:t xml:space="preserve"> </w:t>
      </w:r>
      <w:r>
        <w:rPr>
          <w:rFonts w:ascii="仿宋_GB2312" w:eastAsia="仿宋_GB2312"/>
          <w:b/>
          <w:bCs/>
          <w:noProof/>
          <w:color w:val="000000"/>
          <w:spacing w:val="6"/>
          <w:sz w:val="32"/>
          <w:szCs w:val="32"/>
        </w:rPr>
        <w:drawing>
          <wp:anchor distT="0" distB="0" distL="114300" distR="114300" simplePos="0" relativeHeight="251661312" behindDoc="0" locked="0" layoutInCell="1" allowOverlap="1" wp14:anchorId="489A410C" wp14:editId="60BE363C">
            <wp:simplePos x="0" y="0"/>
            <wp:positionH relativeFrom="margin">
              <wp:posOffset>190500</wp:posOffset>
            </wp:positionH>
            <wp:positionV relativeFrom="paragraph">
              <wp:posOffset>129540</wp:posOffset>
            </wp:positionV>
            <wp:extent cx="4831080" cy="3738880"/>
            <wp:effectExtent l="0" t="0" r="7620" b="0"/>
            <wp:wrapTopAndBottom/>
            <wp:docPr id="10117058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05856"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31080" cy="3738880"/>
                    </a:xfrm>
                    <a:prstGeom prst="rect">
                      <a:avLst/>
                    </a:prstGeom>
                    <a:noFill/>
                    <a:ln>
                      <a:noFill/>
                    </a:ln>
                  </pic:spPr>
                </pic:pic>
              </a:graphicData>
            </a:graphic>
          </wp:anchor>
        </w:drawing>
      </w:r>
    </w:p>
    <w:p w14:paraId="6C1AEF6C" w14:textId="77777777" w:rsidR="00BD277D" w:rsidRDefault="00BD277D">
      <w:pPr>
        <w:spacing w:line="560" w:lineRule="exact"/>
        <w:rPr>
          <w:rFonts w:ascii="仿宋_GB2312" w:eastAsia="仿宋_GB2312"/>
          <w:b/>
          <w:bCs/>
          <w:color w:val="000000"/>
          <w:spacing w:val="6"/>
          <w:sz w:val="32"/>
          <w:szCs w:val="32"/>
        </w:rPr>
      </w:pPr>
    </w:p>
    <w:p w14:paraId="605FE091" w14:textId="77777777" w:rsidR="00BD277D" w:rsidRDefault="00000000">
      <w:pPr>
        <w:spacing w:line="560" w:lineRule="exact"/>
        <w:rPr>
          <w:rFonts w:ascii="仿宋_GB2312" w:eastAsia="仿宋_GB2312" w:hAnsi="宋体" w:cs="宋体"/>
          <w:color w:val="000000" w:themeColor="text1"/>
          <w:sz w:val="32"/>
          <w:szCs w:val="32"/>
        </w:rPr>
      </w:pPr>
      <w:r>
        <w:rPr>
          <w:rFonts w:ascii="仿宋_GB2312" w:eastAsia="仿宋_GB2312" w:hint="eastAsia"/>
          <w:b/>
          <w:bCs/>
          <w:color w:val="000000"/>
          <w:spacing w:val="6"/>
          <w:sz w:val="32"/>
          <w:szCs w:val="32"/>
        </w:rPr>
        <w:t>技术名称：</w:t>
      </w:r>
      <w:r>
        <w:rPr>
          <w:rFonts w:ascii="仿宋_GB2312" w:eastAsia="仿宋_GB2312" w:hAnsi="宋体" w:cs="宋体" w:hint="eastAsia"/>
          <w:color w:val="000000" w:themeColor="text1"/>
          <w:sz w:val="32"/>
          <w:szCs w:val="32"/>
        </w:rPr>
        <w:t>以患者为中心的个性化中药制剂智能制造技术</w:t>
      </w:r>
    </w:p>
    <w:p w14:paraId="59370EE3"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所属团队：</w:t>
      </w:r>
      <w:r>
        <w:rPr>
          <w:rFonts w:ascii="仿宋_GB2312" w:eastAsia="仿宋_GB2312" w:hAnsi="宋体" w:cs="宋体" w:hint="eastAsia"/>
          <w:color w:val="000000" w:themeColor="text1"/>
          <w:sz w:val="32"/>
          <w:szCs w:val="32"/>
        </w:rPr>
        <w:t>上海中医药大学</w:t>
      </w:r>
    </w:p>
    <w:p w14:paraId="3043101B" w14:textId="77777777" w:rsidR="00BD277D" w:rsidRDefault="00000000">
      <w:pPr>
        <w:spacing w:line="560" w:lineRule="exact"/>
        <w:rPr>
          <w:rFonts w:ascii="仿宋_GB2312" w:eastAsia="仿宋_GB2312" w:hAnsi="宋体" w:cs="宋体"/>
          <w:color w:val="000000" w:themeColor="text1"/>
          <w:sz w:val="32"/>
          <w:szCs w:val="32"/>
        </w:rPr>
      </w:pPr>
      <w:r>
        <w:rPr>
          <w:rFonts w:ascii="仿宋_GB2312" w:eastAsia="仿宋_GB2312" w:hint="eastAsia"/>
          <w:b/>
          <w:bCs/>
          <w:color w:val="000000"/>
          <w:spacing w:val="6"/>
          <w:sz w:val="32"/>
          <w:szCs w:val="32"/>
        </w:rPr>
        <w:t>技术简介</w:t>
      </w:r>
      <w:r>
        <w:rPr>
          <w:rFonts w:ascii="仿宋_GB2312" w:eastAsia="仿宋_GB2312" w:hAnsi="宋体" w:cs="宋体" w:hint="eastAsia"/>
          <w:color w:val="000000" w:themeColor="text1"/>
          <w:sz w:val="32"/>
          <w:szCs w:val="32"/>
        </w:rPr>
        <w:t>：率先提出了“中药物料分类—处方和工艺智能决策—在线控制与智能生产”的</w:t>
      </w:r>
      <w:proofErr w:type="gramStart"/>
      <w:r>
        <w:rPr>
          <w:rFonts w:ascii="仿宋_GB2312" w:eastAsia="仿宋_GB2312" w:hAnsi="宋体" w:cs="宋体" w:hint="eastAsia"/>
          <w:color w:val="000000" w:themeColor="text1"/>
          <w:sz w:val="32"/>
          <w:szCs w:val="32"/>
        </w:rPr>
        <w:t>中药临方制剂</w:t>
      </w:r>
      <w:proofErr w:type="gramEnd"/>
      <w:r>
        <w:rPr>
          <w:rFonts w:ascii="仿宋_GB2312" w:eastAsia="仿宋_GB2312" w:hAnsi="宋体" w:cs="宋体" w:hint="eastAsia"/>
          <w:color w:val="000000" w:themeColor="text1"/>
          <w:sz w:val="32"/>
          <w:szCs w:val="32"/>
        </w:rPr>
        <w:t>创新研发模式，构建了集理论依据、技术方法、评价体系为一体的具有中医药特色的</w:t>
      </w:r>
      <w:proofErr w:type="gramStart"/>
      <w:r>
        <w:rPr>
          <w:rFonts w:ascii="仿宋_GB2312" w:eastAsia="仿宋_GB2312" w:hAnsi="宋体" w:cs="宋体" w:hint="eastAsia"/>
          <w:color w:val="000000" w:themeColor="text1"/>
          <w:sz w:val="32"/>
          <w:szCs w:val="32"/>
        </w:rPr>
        <w:t>中药临方制剂</w:t>
      </w:r>
      <w:proofErr w:type="gramEnd"/>
      <w:r>
        <w:rPr>
          <w:rFonts w:ascii="仿宋_GB2312" w:eastAsia="仿宋_GB2312" w:hAnsi="宋体" w:cs="宋体" w:hint="eastAsia"/>
          <w:color w:val="000000" w:themeColor="text1"/>
          <w:sz w:val="32"/>
          <w:szCs w:val="32"/>
        </w:rPr>
        <w:t>技术研究与应用体系，发明了中药物料智能分类、制剂处方和工艺智能决策、生产过程分析、个性化</w:t>
      </w:r>
      <w:proofErr w:type="gramStart"/>
      <w:r>
        <w:rPr>
          <w:rFonts w:ascii="仿宋_GB2312" w:eastAsia="仿宋_GB2312" w:hAnsi="宋体" w:cs="宋体" w:hint="eastAsia"/>
          <w:color w:val="000000" w:themeColor="text1"/>
          <w:sz w:val="32"/>
          <w:szCs w:val="32"/>
        </w:rPr>
        <w:t>矫</w:t>
      </w:r>
      <w:proofErr w:type="gramEnd"/>
      <w:r>
        <w:rPr>
          <w:rFonts w:ascii="仿宋_GB2312" w:eastAsia="仿宋_GB2312" w:hAnsi="宋体" w:cs="宋体" w:hint="eastAsia"/>
          <w:color w:val="000000" w:themeColor="text1"/>
          <w:sz w:val="32"/>
          <w:szCs w:val="32"/>
        </w:rPr>
        <w:t>味等</w:t>
      </w:r>
      <w:proofErr w:type="gramStart"/>
      <w:r>
        <w:rPr>
          <w:rFonts w:ascii="仿宋_GB2312" w:eastAsia="仿宋_GB2312" w:hAnsi="宋体" w:cs="宋体" w:hint="eastAsia"/>
          <w:color w:val="000000" w:themeColor="text1"/>
          <w:sz w:val="32"/>
          <w:szCs w:val="32"/>
        </w:rPr>
        <w:t>中药临方制剂</w:t>
      </w:r>
      <w:proofErr w:type="gramEnd"/>
      <w:r>
        <w:rPr>
          <w:rFonts w:ascii="仿宋_GB2312" w:eastAsia="仿宋_GB2312" w:hAnsi="宋体" w:cs="宋体" w:hint="eastAsia"/>
          <w:color w:val="000000" w:themeColor="text1"/>
          <w:sz w:val="32"/>
          <w:szCs w:val="32"/>
        </w:rPr>
        <w:t>核心技术，实现了高效、高载药量的</w:t>
      </w:r>
      <w:proofErr w:type="gramStart"/>
      <w:r>
        <w:rPr>
          <w:rFonts w:ascii="仿宋_GB2312" w:eastAsia="仿宋_GB2312" w:hAnsi="宋体" w:cs="宋体" w:hint="eastAsia"/>
          <w:color w:val="000000" w:themeColor="text1"/>
          <w:sz w:val="32"/>
          <w:szCs w:val="32"/>
        </w:rPr>
        <w:t>中药临方制剂</w:t>
      </w:r>
      <w:proofErr w:type="gramEnd"/>
      <w:r>
        <w:rPr>
          <w:rFonts w:ascii="仿宋_GB2312" w:eastAsia="仿宋_GB2312" w:hAnsi="宋体" w:cs="宋体" w:hint="eastAsia"/>
          <w:color w:val="000000" w:themeColor="text1"/>
          <w:sz w:val="32"/>
          <w:szCs w:val="32"/>
        </w:rPr>
        <w:t>机械化、智能化生产，推动了浓缩水丸、原生药粉水丸、颗粒剂、片剂以及个性化</w:t>
      </w:r>
      <w:proofErr w:type="gramStart"/>
      <w:r>
        <w:rPr>
          <w:rFonts w:ascii="仿宋_GB2312" w:eastAsia="仿宋_GB2312" w:hAnsi="宋体" w:cs="宋体" w:hint="eastAsia"/>
          <w:color w:val="000000" w:themeColor="text1"/>
          <w:sz w:val="32"/>
          <w:szCs w:val="32"/>
        </w:rPr>
        <w:t>矫</w:t>
      </w:r>
      <w:proofErr w:type="gramEnd"/>
      <w:r>
        <w:rPr>
          <w:rFonts w:ascii="仿宋_GB2312" w:eastAsia="仿宋_GB2312" w:hAnsi="宋体" w:cs="宋体" w:hint="eastAsia"/>
          <w:color w:val="000000" w:themeColor="text1"/>
          <w:sz w:val="32"/>
          <w:szCs w:val="32"/>
        </w:rPr>
        <w:t>味的</w:t>
      </w:r>
      <w:proofErr w:type="gramStart"/>
      <w:r>
        <w:rPr>
          <w:rFonts w:ascii="仿宋_GB2312" w:eastAsia="仿宋_GB2312" w:hAnsi="宋体" w:cs="宋体" w:hint="eastAsia"/>
          <w:color w:val="000000" w:themeColor="text1"/>
          <w:sz w:val="32"/>
          <w:szCs w:val="32"/>
        </w:rPr>
        <w:t>中药临方制剂</w:t>
      </w:r>
      <w:proofErr w:type="gramEnd"/>
      <w:r>
        <w:rPr>
          <w:rFonts w:ascii="仿宋_GB2312" w:eastAsia="仿宋_GB2312" w:hAnsi="宋体" w:cs="宋体" w:hint="eastAsia"/>
          <w:color w:val="000000" w:themeColor="text1"/>
          <w:sz w:val="32"/>
          <w:szCs w:val="32"/>
        </w:rPr>
        <w:t>新技术与新设备的开发。目前，该技术已获得6项专利授权，形成了</w:t>
      </w:r>
      <w:proofErr w:type="gramStart"/>
      <w:r>
        <w:rPr>
          <w:rFonts w:ascii="仿宋_GB2312" w:eastAsia="仿宋_GB2312" w:hAnsi="宋体" w:cs="宋体" w:hint="eastAsia"/>
          <w:color w:val="000000" w:themeColor="text1"/>
          <w:sz w:val="32"/>
          <w:szCs w:val="32"/>
        </w:rPr>
        <w:t>中药临方制剂</w:t>
      </w:r>
      <w:proofErr w:type="gramEnd"/>
      <w:r>
        <w:rPr>
          <w:rFonts w:ascii="仿宋_GB2312" w:eastAsia="仿宋_GB2312" w:hAnsi="宋体" w:cs="宋体" w:hint="eastAsia"/>
          <w:color w:val="000000" w:themeColor="text1"/>
          <w:sz w:val="32"/>
          <w:szCs w:val="32"/>
        </w:rPr>
        <w:t>技术研究与应用的自主知识产权专利群。2019-2022年，已累计加工丸剂13486方，直接经济效益达6626.06万元。并应用于7家新药研发机构的24个品种的科研临床样品制备，其中3项获得临床批件。目前该技术已推广至上海、浙江、江苏、湖北、河北、北京等多个省市。</w:t>
      </w:r>
    </w:p>
    <w:p w14:paraId="17CD9608" w14:textId="77777777" w:rsidR="00BD277D" w:rsidRDefault="00000000">
      <w:pPr>
        <w:spacing w:line="560" w:lineRule="exact"/>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68480" behindDoc="0" locked="0" layoutInCell="1" allowOverlap="1" wp14:anchorId="7C338392" wp14:editId="5F4B67D5">
            <wp:simplePos x="0" y="0"/>
            <wp:positionH relativeFrom="column">
              <wp:posOffset>214630</wp:posOffset>
            </wp:positionH>
            <wp:positionV relativeFrom="paragraph">
              <wp:posOffset>3616325</wp:posOffset>
            </wp:positionV>
            <wp:extent cx="4694555" cy="3472815"/>
            <wp:effectExtent l="0" t="0" r="0" b="0"/>
            <wp:wrapTopAndBottom/>
            <wp:docPr id="422112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12114"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94555" cy="3472815"/>
                    </a:xfrm>
                    <a:prstGeom prst="rect">
                      <a:avLst/>
                    </a:prstGeom>
                    <a:noFill/>
                    <a:ln>
                      <a:noFill/>
                    </a:ln>
                  </pic:spPr>
                </pic:pic>
              </a:graphicData>
            </a:graphic>
          </wp:anchor>
        </w:drawing>
      </w:r>
      <w:r>
        <w:rPr>
          <w:rFonts w:ascii="仿宋_GB2312" w:eastAsia="仿宋_GB2312"/>
          <w:noProof/>
          <w:sz w:val="32"/>
          <w:szCs w:val="32"/>
        </w:rPr>
        <w:drawing>
          <wp:anchor distT="0" distB="0" distL="114300" distR="114300" simplePos="0" relativeHeight="251667456" behindDoc="0" locked="0" layoutInCell="1" allowOverlap="1" wp14:anchorId="6ADB3084" wp14:editId="75E1257F">
            <wp:simplePos x="0" y="0"/>
            <wp:positionH relativeFrom="column">
              <wp:posOffset>207645</wp:posOffset>
            </wp:positionH>
            <wp:positionV relativeFrom="paragraph">
              <wp:posOffset>40640</wp:posOffset>
            </wp:positionV>
            <wp:extent cx="4694555" cy="3518535"/>
            <wp:effectExtent l="0" t="0" r="0" b="5715"/>
            <wp:wrapTopAndBottom/>
            <wp:docPr id="68147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7497"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94555" cy="3518535"/>
                    </a:xfrm>
                    <a:prstGeom prst="rect">
                      <a:avLst/>
                    </a:prstGeom>
                    <a:noFill/>
                    <a:ln>
                      <a:noFill/>
                    </a:ln>
                  </pic:spPr>
                </pic:pic>
              </a:graphicData>
            </a:graphic>
          </wp:anchor>
        </w:drawing>
      </w:r>
    </w:p>
    <w:p w14:paraId="4501698D"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技术名称：</w:t>
      </w:r>
      <w:r>
        <w:rPr>
          <w:rFonts w:ascii="仿宋_GB2312" w:eastAsia="仿宋_GB2312" w:hint="eastAsia"/>
          <w:color w:val="000000"/>
          <w:spacing w:val="6"/>
          <w:sz w:val="32"/>
          <w:szCs w:val="32"/>
        </w:rPr>
        <w:t>可视化</w:t>
      </w:r>
      <w:proofErr w:type="gramStart"/>
      <w:r>
        <w:rPr>
          <w:rFonts w:ascii="仿宋_GB2312" w:eastAsia="仿宋_GB2312" w:hint="eastAsia"/>
          <w:color w:val="000000"/>
          <w:spacing w:val="6"/>
          <w:sz w:val="32"/>
          <w:szCs w:val="32"/>
        </w:rPr>
        <w:t>针刀微创</w:t>
      </w:r>
      <w:proofErr w:type="gramEnd"/>
      <w:r>
        <w:rPr>
          <w:rFonts w:ascii="仿宋_GB2312" w:eastAsia="仿宋_GB2312" w:hint="eastAsia"/>
          <w:color w:val="000000"/>
          <w:spacing w:val="6"/>
          <w:sz w:val="32"/>
          <w:szCs w:val="32"/>
        </w:rPr>
        <w:t>技术</w:t>
      </w:r>
    </w:p>
    <w:p w14:paraId="623B2C59"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所属团队：</w:t>
      </w:r>
      <w:r>
        <w:rPr>
          <w:rFonts w:ascii="仿宋_GB2312" w:eastAsia="仿宋_GB2312" w:hint="eastAsia"/>
          <w:color w:val="000000"/>
          <w:spacing w:val="6"/>
          <w:sz w:val="32"/>
          <w:szCs w:val="32"/>
        </w:rPr>
        <w:t>中日友好医院</w:t>
      </w:r>
    </w:p>
    <w:p w14:paraId="13214247"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技术简介：</w:t>
      </w:r>
      <w:r>
        <w:rPr>
          <w:rFonts w:ascii="仿宋_GB2312" w:eastAsia="仿宋_GB2312" w:hint="eastAsia"/>
          <w:color w:val="000000"/>
          <w:spacing w:val="6"/>
          <w:sz w:val="32"/>
          <w:szCs w:val="32"/>
        </w:rPr>
        <w:t>可视化</w:t>
      </w:r>
      <w:proofErr w:type="gramStart"/>
      <w:r>
        <w:rPr>
          <w:rFonts w:ascii="仿宋_GB2312" w:eastAsia="仿宋_GB2312" w:hint="eastAsia"/>
          <w:color w:val="000000"/>
          <w:spacing w:val="6"/>
          <w:sz w:val="32"/>
          <w:szCs w:val="32"/>
        </w:rPr>
        <w:t>针刀微创</w:t>
      </w:r>
      <w:proofErr w:type="gramEnd"/>
      <w:r>
        <w:rPr>
          <w:rFonts w:ascii="仿宋_GB2312" w:eastAsia="仿宋_GB2312" w:hint="eastAsia"/>
          <w:color w:val="000000"/>
          <w:spacing w:val="6"/>
          <w:sz w:val="32"/>
          <w:szCs w:val="32"/>
        </w:rPr>
        <w:t>技术创新性地将超声医学融入针刀</w:t>
      </w:r>
      <w:r>
        <w:rPr>
          <w:rFonts w:ascii="仿宋_GB2312" w:eastAsia="仿宋_GB2312" w:hint="eastAsia"/>
          <w:color w:val="000000"/>
          <w:spacing w:val="6"/>
          <w:sz w:val="32"/>
          <w:szCs w:val="32"/>
        </w:rPr>
        <w:lastRenderedPageBreak/>
        <w:t>医学的诊疗过程中，借助超声引导的可视化优势，可实时反映病变部位软组织的结构及神经血管情况，从而帮助操作者更加准确地进行术前诊断、术中引导和术后评估；同时融合了传统针刀治疗的微创特点，具有创口微小、无需全麻、恢复期短、不易感染等优势，从根本上提高了整个针刀诊疗过程中的精准性和安全性，实现了针刀临床诊疗水平的跃升。目前可应用于针灸科、疼痛科、骨伤科、康复科等学科的临床治疗中，在脊柱、四肢关节、</w:t>
      </w:r>
      <w:proofErr w:type="gramStart"/>
      <w:r>
        <w:rPr>
          <w:rFonts w:ascii="仿宋_GB2312" w:eastAsia="仿宋_GB2312" w:hint="eastAsia"/>
          <w:color w:val="000000"/>
          <w:spacing w:val="6"/>
          <w:sz w:val="32"/>
          <w:szCs w:val="32"/>
        </w:rPr>
        <w:t>外周神</w:t>
      </w:r>
      <w:proofErr w:type="gramEnd"/>
      <w:r>
        <w:rPr>
          <w:rFonts w:ascii="仿宋_GB2312" w:eastAsia="仿宋_GB2312" w:hAnsi="宋体" w:cs="宋体"/>
          <w:noProof/>
          <w:color w:val="000000" w:themeColor="text1"/>
          <w:sz w:val="32"/>
          <w:szCs w:val="32"/>
        </w:rPr>
        <w:drawing>
          <wp:anchor distT="0" distB="0" distL="114300" distR="114300" simplePos="0" relativeHeight="251659264" behindDoc="0" locked="0" layoutInCell="1" allowOverlap="1" wp14:anchorId="5968688E" wp14:editId="157FED53">
            <wp:simplePos x="0" y="0"/>
            <wp:positionH relativeFrom="page">
              <wp:align>right</wp:align>
            </wp:positionH>
            <wp:positionV relativeFrom="paragraph">
              <wp:posOffset>6412865</wp:posOffset>
            </wp:positionV>
            <wp:extent cx="2851785" cy="2044065"/>
            <wp:effectExtent l="0" t="0" r="5715" b="0"/>
            <wp:wrapTopAndBottom/>
            <wp:docPr id="1042068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68995"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51785" cy="2044065"/>
                    </a:xfrm>
                    <a:prstGeom prst="rect">
                      <a:avLst/>
                    </a:prstGeom>
                    <a:noFill/>
                    <a:ln>
                      <a:noFill/>
                    </a:ln>
                  </pic:spPr>
                </pic:pic>
              </a:graphicData>
            </a:graphic>
          </wp:anchor>
        </w:drawing>
      </w:r>
      <w:r>
        <w:rPr>
          <w:rFonts w:ascii="仿宋_GB2312" w:eastAsia="仿宋_GB2312" w:hAnsi="宋体" w:cs="宋体"/>
          <w:noProof/>
          <w:color w:val="000000" w:themeColor="text1"/>
          <w:sz w:val="32"/>
          <w:szCs w:val="32"/>
        </w:rPr>
        <w:drawing>
          <wp:anchor distT="0" distB="0" distL="114300" distR="114300" simplePos="0" relativeHeight="251660288" behindDoc="0" locked="0" layoutInCell="1" allowOverlap="1" wp14:anchorId="67C0458B" wp14:editId="5638CEC5">
            <wp:simplePos x="0" y="0"/>
            <wp:positionH relativeFrom="column">
              <wp:posOffset>-507365</wp:posOffset>
            </wp:positionH>
            <wp:positionV relativeFrom="paragraph">
              <wp:posOffset>3675380</wp:posOffset>
            </wp:positionV>
            <wp:extent cx="4215130" cy="3397885"/>
            <wp:effectExtent l="8572" t="0" r="3493" b="3492"/>
            <wp:wrapTopAndBottom/>
            <wp:docPr id="5396005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00506"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16200000">
                      <a:off x="0" y="0"/>
                      <a:ext cx="4215130" cy="3397885"/>
                    </a:xfrm>
                    <a:prstGeom prst="rect">
                      <a:avLst/>
                    </a:prstGeom>
                    <a:noFill/>
                    <a:ln>
                      <a:noFill/>
                    </a:ln>
                  </pic:spPr>
                </pic:pic>
              </a:graphicData>
            </a:graphic>
          </wp:anchor>
        </w:drawing>
      </w:r>
      <w:r>
        <w:rPr>
          <w:rFonts w:ascii="仿宋_GB2312" w:eastAsia="仿宋_GB2312" w:hint="eastAsia"/>
          <w:color w:val="000000"/>
          <w:spacing w:val="6"/>
          <w:sz w:val="32"/>
          <w:szCs w:val="32"/>
        </w:rPr>
        <w:t>经卡压及慢性软组织疾病等领域展现出卓越的临床效果。</w:t>
      </w:r>
    </w:p>
    <w:p w14:paraId="7DF85F80" w14:textId="77777777" w:rsidR="00BD277D" w:rsidRDefault="00BD277D">
      <w:pPr>
        <w:spacing w:line="560" w:lineRule="exact"/>
        <w:rPr>
          <w:rFonts w:ascii="仿宋_GB2312" w:eastAsia="仿宋_GB2312"/>
          <w:color w:val="000000"/>
          <w:spacing w:val="6"/>
          <w:sz w:val="32"/>
          <w:szCs w:val="32"/>
        </w:rPr>
      </w:pPr>
    </w:p>
    <w:p w14:paraId="3C74BD2B" w14:textId="77777777" w:rsidR="00BD277D" w:rsidRDefault="00BD277D">
      <w:pPr>
        <w:spacing w:line="560" w:lineRule="exact"/>
        <w:rPr>
          <w:rFonts w:ascii="仿宋_GB2312" w:eastAsia="仿宋_GB2312"/>
          <w:color w:val="000000"/>
          <w:spacing w:val="6"/>
          <w:sz w:val="32"/>
          <w:szCs w:val="32"/>
        </w:rPr>
      </w:pPr>
    </w:p>
    <w:p w14:paraId="6589E446" w14:textId="77777777" w:rsidR="00BD277D" w:rsidRDefault="00000000">
      <w:pPr>
        <w:spacing w:line="560" w:lineRule="exact"/>
        <w:rPr>
          <w:rFonts w:ascii="仿宋_GB2312" w:eastAsia="仿宋_GB2312" w:hAnsi="宋体" w:cs="宋体"/>
          <w:color w:val="000000" w:themeColor="text1"/>
          <w:sz w:val="32"/>
          <w:szCs w:val="32"/>
        </w:rPr>
      </w:pPr>
      <w:r>
        <w:rPr>
          <w:rFonts w:ascii="仿宋_GB2312" w:eastAsia="仿宋_GB2312" w:hint="eastAsia"/>
          <w:b/>
          <w:bCs/>
          <w:color w:val="000000"/>
          <w:spacing w:val="6"/>
          <w:sz w:val="32"/>
          <w:szCs w:val="32"/>
        </w:rPr>
        <w:t>技术名称：</w:t>
      </w:r>
      <w:r>
        <w:rPr>
          <w:rFonts w:ascii="仿宋_GB2312" w:eastAsia="仿宋_GB2312" w:hAnsi="宋体" w:cs="宋体" w:hint="eastAsia"/>
          <w:color w:val="000000" w:themeColor="text1"/>
          <w:sz w:val="32"/>
          <w:szCs w:val="32"/>
        </w:rPr>
        <w:t>中药注射剂过敏反应、类过敏反应风险检测关键技术。</w:t>
      </w:r>
    </w:p>
    <w:p w14:paraId="76074078"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所属团队：</w:t>
      </w:r>
      <w:r>
        <w:rPr>
          <w:rFonts w:ascii="仿宋_GB2312" w:eastAsia="仿宋_GB2312" w:hAnsi="宋体" w:cs="宋体" w:hint="eastAsia"/>
          <w:color w:val="000000" w:themeColor="text1"/>
          <w:sz w:val="32"/>
          <w:szCs w:val="32"/>
        </w:rPr>
        <w:t>中国中医科学院中药研究所、中国人民解放军军事科学院军事医学研究院、江西青峰药业有限公司、天津天士力之骄药业有限公司</w:t>
      </w:r>
    </w:p>
    <w:p w14:paraId="0F414324" w14:textId="77777777" w:rsidR="00BD277D" w:rsidRDefault="00000000">
      <w:pPr>
        <w:spacing w:line="560" w:lineRule="exact"/>
        <w:rPr>
          <w:rFonts w:ascii="仿宋_GB2312" w:eastAsia="仿宋_GB2312" w:hAnsi="宋体" w:cs="宋体"/>
          <w:color w:val="000000" w:themeColor="text1"/>
          <w:sz w:val="32"/>
          <w:szCs w:val="32"/>
        </w:rPr>
      </w:pPr>
      <w:r>
        <w:rPr>
          <w:rFonts w:ascii="仿宋_GB2312" w:eastAsia="仿宋_GB2312" w:hint="eastAsia"/>
          <w:b/>
          <w:bCs/>
          <w:color w:val="000000"/>
          <w:spacing w:val="6"/>
          <w:sz w:val="32"/>
          <w:szCs w:val="32"/>
        </w:rPr>
        <w:t>技术简介：</w:t>
      </w:r>
      <w:r>
        <w:rPr>
          <w:rFonts w:ascii="仿宋_GB2312" w:eastAsia="仿宋_GB2312" w:hAnsi="宋体" w:cs="宋体" w:hint="eastAsia"/>
          <w:color w:val="000000" w:themeColor="text1"/>
          <w:sz w:val="32"/>
          <w:szCs w:val="32"/>
        </w:rPr>
        <w:t>首次发现、提出并实证了“中药注射剂过敏样反应主要为类过敏反应而不是I型过敏反应，风险防控策略应以防控类过敏反应为主”的学术观点，通过创建敏感性高、可客观定量评价的过敏反应、类过敏反应动物模型（共4种模型），发现中药注射剂诱导类过敏反应机制与直接激活RhoA/ROCK通路有关，并找出可有效抑制类过敏反应的ROCK抑制剂，创建了一套从中药注射剂复杂的物质基础中筛选出致敏物质的技术体系，突破了长期以来中药注射剂过敏样反应难以预测的技术瓶颈，填补了空白。针对中药注射剂生产过程中的安全性检测，研发了首个产品类过敏风险检测和控制技术，制定并发布了《静脉用中药注射剂类过敏反应检测技术规范》（T/CACM 1381—2022）</w:t>
      </w:r>
      <w:proofErr w:type="gramStart"/>
      <w:r>
        <w:rPr>
          <w:rFonts w:ascii="仿宋_GB2312" w:eastAsia="仿宋_GB2312" w:hAnsi="宋体" w:cs="宋体" w:hint="eastAsia"/>
          <w:color w:val="000000" w:themeColor="text1"/>
          <w:sz w:val="32"/>
          <w:szCs w:val="32"/>
        </w:rPr>
        <w:t>》</w:t>
      </w:r>
      <w:proofErr w:type="gramEnd"/>
      <w:r>
        <w:rPr>
          <w:rFonts w:ascii="仿宋_GB2312" w:eastAsia="仿宋_GB2312" w:hAnsi="宋体" w:cs="宋体" w:hint="eastAsia"/>
          <w:color w:val="000000" w:themeColor="text1"/>
          <w:sz w:val="32"/>
          <w:szCs w:val="32"/>
        </w:rPr>
        <w:t>；攻克了长期以来注射剂产品过敏样反应风险缺乏有效方法检测和控制的难题。该技术协助十余家中药注射剂生产企业完成了15种中药注射剂的上市后再评价，为新药安全性评估、产品安全性监测、药品不良反应监测和原因分析等提供了积极有效的支撑。</w:t>
      </w:r>
    </w:p>
    <w:p w14:paraId="55B9862E" w14:textId="77777777" w:rsidR="00BD277D" w:rsidRDefault="00BD277D">
      <w:pPr>
        <w:spacing w:line="560" w:lineRule="exact"/>
        <w:rPr>
          <w:rFonts w:ascii="仿宋_GB2312" w:eastAsia="仿宋_GB2312"/>
          <w:b/>
          <w:bCs/>
          <w:color w:val="000000"/>
          <w:spacing w:val="6"/>
          <w:sz w:val="32"/>
          <w:szCs w:val="32"/>
        </w:rPr>
      </w:pPr>
    </w:p>
    <w:p w14:paraId="495D8533" w14:textId="77777777" w:rsidR="00BD277D" w:rsidRDefault="00BD277D">
      <w:pPr>
        <w:spacing w:line="560" w:lineRule="exact"/>
        <w:rPr>
          <w:rFonts w:ascii="仿宋_GB2312" w:eastAsia="仿宋_GB2312"/>
          <w:b/>
          <w:bCs/>
          <w:color w:val="000000"/>
          <w:spacing w:val="6"/>
          <w:sz w:val="32"/>
          <w:szCs w:val="32"/>
        </w:rPr>
      </w:pPr>
    </w:p>
    <w:p w14:paraId="23CBE459" w14:textId="77777777" w:rsidR="00BD277D" w:rsidRDefault="00000000">
      <w:pPr>
        <w:spacing w:line="560" w:lineRule="exact"/>
        <w:rPr>
          <w:rFonts w:ascii="仿宋_GB2312" w:eastAsia="仿宋_GB2312"/>
          <w:b/>
          <w:bCs/>
          <w:color w:val="000000"/>
          <w:spacing w:val="6"/>
          <w:sz w:val="32"/>
          <w:szCs w:val="32"/>
        </w:rPr>
      </w:pPr>
      <w:r>
        <w:rPr>
          <w:rFonts w:ascii="仿宋_GB2312" w:eastAsia="仿宋_GB2312"/>
          <w:b/>
          <w:bCs/>
          <w:noProof/>
          <w:color w:val="000000"/>
          <w:spacing w:val="6"/>
          <w:sz w:val="32"/>
          <w:szCs w:val="32"/>
        </w:rPr>
        <w:lastRenderedPageBreak/>
        <w:drawing>
          <wp:anchor distT="0" distB="0" distL="114300" distR="114300" simplePos="0" relativeHeight="251672576" behindDoc="0" locked="0" layoutInCell="1" allowOverlap="1" wp14:anchorId="5C613D46" wp14:editId="19787AE0">
            <wp:simplePos x="0" y="0"/>
            <wp:positionH relativeFrom="column">
              <wp:posOffset>-149225</wp:posOffset>
            </wp:positionH>
            <wp:positionV relativeFrom="paragraph">
              <wp:posOffset>3929380</wp:posOffset>
            </wp:positionV>
            <wp:extent cx="5274310" cy="2335530"/>
            <wp:effectExtent l="0" t="0" r="2540" b="7620"/>
            <wp:wrapTopAndBottom/>
            <wp:docPr id="523622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2259"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335530"/>
                    </a:xfrm>
                    <a:prstGeom prst="rect">
                      <a:avLst/>
                    </a:prstGeom>
                    <a:noFill/>
                    <a:ln>
                      <a:noFill/>
                    </a:ln>
                  </pic:spPr>
                </pic:pic>
              </a:graphicData>
            </a:graphic>
          </wp:anchor>
        </w:drawing>
      </w:r>
      <w:r>
        <w:rPr>
          <w:rFonts w:ascii="仿宋_GB2312" w:eastAsia="仿宋_GB2312"/>
          <w:b/>
          <w:bCs/>
          <w:noProof/>
          <w:color w:val="000000"/>
          <w:spacing w:val="6"/>
          <w:sz w:val="32"/>
          <w:szCs w:val="32"/>
        </w:rPr>
        <w:drawing>
          <wp:anchor distT="0" distB="0" distL="114300" distR="114300" simplePos="0" relativeHeight="251671552" behindDoc="0" locked="0" layoutInCell="1" allowOverlap="1" wp14:anchorId="3E0EB20D" wp14:editId="54D16BEC">
            <wp:simplePos x="0" y="0"/>
            <wp:positionH relativeFrom="column">
              <wp:posOffset>-70485</wp:posOffset>
            </wp:positionH>
            <wp:positionV relativeFrom="paragraph">
              <wp:posOffset>116840</wp:posOffset>
            </wp:positionV>
            <wp:extent cx="5274310" cy="3506470"/>
            <wp:effectExtent l="0" t="0" r="2540" b="0"/>
            <wp:wrapTopAndBottom/>
            <wp:docPr id="1190492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92126"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506470"/>
                    </a:xfrm>
                    <a:prstGeom prst="rect">
                      <a:avLst/>
                    </a:prstGeom>
                    <a:noFill/>
                    <a:ln>
                      <a:noFill/>
                    </a:ln>
                  </pic:spPr>
                </pic:pic>
              </a:graphicData>
            </a:graphic>
          </wp:anchor>
        </w:drawing>
      </w:r>
    </w:p>
    <w:p w14:paraId="6003F69B" w14:textId="77777777" w:rsidR="00BD277D" w:rsidRDefault="00000000">
      <w:pPr>
        <w:spacing w:line="560" w:lineRule="exact"/>
        <w:rPr>
          <w:rFonts w:ascii="仿宋_GB2312" w:eastAsia="仿宋_GB2312" w:hAnsi="宋体" w:cs="宋体"/>
          <w:color w:val="000000" w:themeColor="text1"/>
          <w:sz w:val="32"/>
          <w:szCs w:val="32"/>
        </w:rPr>
      </w:pPr>
      <w:r>
        <w:rPr>
          <w:rFonts w:ascii="仿宋_GB2312" w:eastAsia="仿宋_GB2312" w:hint="eastAsia"/>
          <w:b/>
          <w:bCs/>
          <w:color w:val="000000"/>
          <w:spacing w:val="6"/>
          <w:sz w:val="32"/>
          <w:szCs w:val="32"/>
        </w:rPr>
        <w:t>技术名称：</w:t>
      </w:r>
      <w:r>
        <w:rPr>
          <w:rFonts w:ascii="仿宋_GB2312" w:eastAsia="仿宋_GB2312" w:hAnsi="宋体" w:cs="宋体" w:hint="eastAsia"/>
          <w:color w:val="000000" w:themeColor="text1"/>
          <w:sz w:val="32"/>
          <w:szCs w:val="32"/>
        </w:rPr>
        <w:t>中医药国际化（一带一路）注册路径与关键技术</w:t>
      </w:r>
    </w:p>
    <w:p w14:paraId="13189511"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所属团队：</w:t>
      </w:r>
      <w:r>
        <w:rPr>
          <w:rFonts w:ascii="仿宋_GB2312" w:eastAsia="仿宋_GB2312" w:hAnsi="宋体" w:cs="宋体" w:hint="eastAsia"/>
          <w:color w:val="000000" w:themeColor="text1"/>
          <w:sz w:val="32"/>
          <w:szCs w:val="32"/>
        </w:rPr>
        <w:t>天士力医药集团股份有限公司</w:t>
      </w:r>
    </w:p>
    <w:p w14:paraId="311B7136" w14:textId="77777777" w:rsidR="00BD277D" w:rsidRDefault="00000000">
      <w:pPr>
        <w:spacing w:line="560" w:lineRule="exact"/>
        <w:rPr>
          <w:rFonts w:ascii="仿宋_GB2312" w:eastAsia="仿宋_GB2312" w:cs="仿宋_GB2312"/>
          <w:b/>
          <w:bCs/>
          <w:sz w:val="32"/>
          <w:szCs w:val="32"/>
        </w:rPr>
      </w:pPr>
      <w:r>
        <w:rPr>
          <w:rFonts w:ascii="仿宋_GB2312" w:eastAsia="仿宋_GB2312" w:hint="eastAsia"/>
          <w:b/>
          <w:bCs/>
          <w:color w:val="000000"/>
          <w:spacing w:val="6"/>
          <w:sz w:val="32"/>
          <w:szCs w:val="32"/>
        </w:rPr>
        <w:t>技术简介</w:t>
      </w:r>
      <w:r>
        <w:rPr>
          <w:rFonts w:ascii="仿宋_GB2312" w:eastAsia="仿宋_GB2312" w:hAnsi="宋体" w:cs="宋体" w:hint="eastAsia"/>
          <w:color w:val="000000" w:themeColor="text1"/>
          <w:sz w:val="32"/>
          <w:szCs w:val="32"/>
        </w:rPr>
        <w:t>：以一带一路为主体的国家和地区作为中药国际化目标市场，研究分析相关国家和地区不同注册身份和注册路径对应的技术法规和要求，结合中药产品处方组成、提取工艺、药材和</w:t>
      </w:r>
      <w:r>
        <w:rPr>
          <w:rFonts w:ascii="仿宋_GB2312" w:eastAsia="仿宋_GB2312" w:hAnsi="宋体" w:cs="宋体" w:hint="eastAsia"/>
          <w:color w:val="000000" w:themeColor="text1"/>
          <w:sz w:val="32"/>
          <w:szCs w:val="32"/>
        </w:rPr>
        <w:lastRenderedPageBreak/>
        <w:t>制剂质量标准、产品功效特征和生产质量管理体系国际GMP的符合性，开展和完成了现代中药产品处方、工艺技术、质量标准等不同层面的技术创新与提升，构建了产品在市场开拓过程中的知识产权保护体系，形成了中医药国际化工作思路和方案，为中国其他中医药企业和品种进入国际市场提供了参考。该技术共在40余个国家和地区，取得450多个注册批件（22个植物药处方药注册批件、159个非处方药和补充类药品注册批件、279个保健品注册批件），获</w:t>
      </w:r>
      <w:r>
        <w:rPr>
          <w:rFonts w:ascii="仿宋_GB2312" w:eastAsia="仿宋_GB2312"/>
          <w:noProof/>
          <w:color w:val="000000"/>
          <w:spacing w:val="6"/>
          <w:sz w:val="32"/>
          <w:szCs w:val="32"/>
        </w:rPr>
        <w:drawing>
          <wp:anchor distT="0" distB="0" distL="114300" distR="114300" simplePos="0" relativeHeight="251662336" behindDoc="0" locked="0" layoutInCell="1" allowOverlap="1" wp14:anchorId="0126165A" wp14:editId="2D343777">
            <wp:simplePos x="0" y="0"/>
            <wp:positionH relativeFrom="column">
              <wp:posOffset>19050</wp:posOffset>
            </wp:positionH>
            <wp:positionV relativeFrom="paragraph">
              <wp:posOffset>2981960</wp:posOffset>
            </wp:positionV>
            <wp:extent cx="5274310" cy="3627120"/>
            <wp:effectExtent l="0" t="0" r="2540" b="0"/>
            <wp:wrapTopAndBottom/>
            <wp:docPr id="12144847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84722"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627120"/>
                    </a:xfrm>
                    <a:prstGeom prst="rect">
                      <a:avLst/>
                    </a:prstGeom>
                    <a:noFill/>
                    <a:ln>
                      <a:noFill/>
                    </a:ln>
                  </pic:spPr>
                </pic:pic>
              </a:graphicData>
            </a:graphic>
          </wp:anchor>
        </w:drawing>
      </w:r>
      <w:r>
        <w:rPr>
          <w:rFonts w:ascii="仿宋_GB2312" w:eastAsia="仿宋_GB2312" w:hAnsi="宋体" w:cs="宋体" w:hint="eastAsia"/>
          <w:color w:val="000000" w:themeColor="text1"/>
          <w:sz w:val="32"/>
          <w:szCs w:val="32"/>
        </w:rPr>
        <w:t>得60余项专利授权。</w:t>
      </w:r>
    </w:p>
    <w:p w14:paraId="04D2FBC3" w14:textId="77777777" w:rsidR="00BD277D" w:rsidRDefault="00BD277D">
      <w:pPr>
        <w:spacing w:line="560" w:lineRule="exact"/>
        <w:rPr>
          <w:rFonts w:ascii="仿宋_GB2312" w:eastAsia="仿宋_GB2312"/>
          <w:color w:val="000000"/>
          <w:spacing w:val="6"/>
          <w:sz w:val="32"/>
          <w:szCs w:val="32"/>
        </w:rPr>
      </w:pPr>
    </w:p>
    <w:p w14:paraId="2D1124D5" w14:textId="77777777" w:rsidR="00BD277D" w:rsidRDefault="00000000">
      <w:pPr>
        <w:spacing w:line="560" w:lineRule="exact"/>
        <w:rPr>
          <w:rFonts w:ascii="仿宋_GB2312" w:eastAsia="仿宋_GB2312"/>
          <w:color w:val="000000"/>
          <w:spacing w:val="6"/>
          <w:sz w:val="32"/>
          <w:szCs w:val="32"/>
        </w:rPr>
      </w:pPr>
      <w:r>
        <w:rPr>
          <w:rFonts w:ascii="仿宋_GB2312" w:eastAsia="仿宋_GB2312"/>
          <w:noProof/>
          <w:color w:val="000000"/>
          <w:spacing w:val="6"/>
          <w:sz w:val="32"/>
          <w:szCs w:val="32"/>
        </w:rPr>
        <w:lastRenderedPageBreak/>
        <w:drawing>
          <wp:anchor distT="0" distB="0" distL="114300" distR="114300" simplePos="0" relativeHeight="251663360" behindDoc="0" locked="0" layoutInCell="1" allowOverlap="1" wp14:anchorId="47408F9F" wp14:editId="12D29F5E">
            <wp:simplePos x="0" y="0"/>
            <wp:positionH relativeFrom="margin">
              <wp:align>right</wp:align>
            </wp:positionH>
            <wp:positionV relativeFrom="paragraph">
              <wp:posOffset>1270</wp:posOffset>
            </wp:positionV>
            <wp:extent cx="5274310" cy="7911465"/>
            <wp:effectExtent l="0" t="0" r="2540" b="0"/>
            <wp:wrapTopAndBottom/>
            <wp:docPr id="8892875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8753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7911465"/>
                    </a:xfrm>
                    <a:prstGeom prst="rect">
                      <a:avLst/>
                    </a:prstGeom>
                    <a:noFill/>
                    <a:ln>
                      <a:noFill/>
                    </a:ln>
                  </pic:spPr>
                </pic:pic>
              </a:graphicData>
            </a:graphic>
          </wp:anchor>
        </w:drawing>
      </w:r>
    </w:p>
    <w:p w14:paraId="05BED3AD" w14:textId="77777777" w:rsidR="00BD277D" w:rsidRDefault="00BD277D">
      <w:pPr>
        <w:spacing w:line="560" w:lineRule="exact"/>
        <w:rPr>
          <w:rFonts w:ascii="方正小标宋简体" w:eastAsia="方正小标宋简体"/>
          <w:color w:val="000000"/>
          <w:spacing w:val="6"/>
          <w:sz w:val="32"/>
          <w:szCs w:val="32"/>
        </w:rPr>
      </w:pPr>
    </w:p>
    <w:p w14:paraId="04CB5497" w14:textId="77777777" w:rsidR="00BD277D" w:rsidRDefault="00000000">
      <w:pPr>
        <w:spacing w:line="560" w:lineRule="exact"/>
        <w:jc w:val="center"/>
        <w:rPr>
          <w:rFonts w:ascii="方正小标宋简体" w:eastAsia="方正小标宋简体"/>
          <w:color w:val="000000"/>
          <w:spacing w:val="6"/>
          <w:sz w:val="32"/>
          <w:szCs w:val="32"/>
        </w:rPr>
      </w:pPr>
      <w:r>
        <w:rPr>
          <w:rFonts w:ascii="方正小标宋简体" w:eastAsia="方正小标宋简体" w:hint="eastAsia"/>
          <w:color w:val="000000"/>
          <w:spacing w:val="6"/>
          <w:sz w:val="32"/>
          <w:szCs w:val="32"/>
        </w:rPr>
        <w:t>新锐企业</w:t>
      </w:r>
    </w:p>
    <w:p w14:paraId="0778D5F0"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单位名称</w:t>
      </w:r>
      <w:r>
        <w:rPr>
          <w:rFonts w:ascii="仿宋_GB2312" w:eastAsia="仿宋_GB2312" w:hint="eastAsia"/>
          <w:color w:val="000000"/>
          <w:spacing w:val="6"/>
          <w:sz w:val="32"/>
          <w:szCs w:val="32"/>
        </w:rPr>
        <w:t>：浙江纳里</w:t>
      </w:r>
      <w:proofErr w:type="gramStart"/>
      <w:r>
        <w:rPr>
          <w:rFonts w:ascii="仿宋_GB2312" w:eastAsia="仿宋_GB2312" w:hint="eastAsia"/>
          <w:color w:val="000000"/>
          <w:spacing w:val="6"/>
          <w:sz w:val="32"/>
          <w:szCs w:val="32"/>
        </w:rPr>
        <w:t>数智健康</w:t>
      </w:r>
      <w:proofErr w:type="gramEnd"/>
      <w:r>
        <w:rPr>
          <w:rFonts w:ascii="仿宋_GB2312" w:eastAsia="仿宋_GB2312" w:hint="eastAsia"/>
          <w:color w:val="000000"/>
          <w:spacing w:val="6"/>
          <w:sz w:val="32"/>
          <w:szCs w:val="32"/>
        </w:rPr>
        <w:t>科技股份有限公司</w:t>
      </w:r>
    </w:p>
    <w:p w14:paraId="41B40AB0" w14:textId="77777777" w:rsidR="00BD277D" w:rsidRDefault="00000000">
      <w:pPr>
        <w:pStyle w:val="a7"/>
        <w:spacing w:before="0" w:beforeAutospacing="0" w:after="0" w:afterAutospacing="0" w:line="360" w:lineRule="auto"/>
        <w:jc w:val="both"/>
        <w:rPr>
          <w:rFonts w:ascii="仿宋_GB2312" w:eastAsia="仿宋_GB2312" w:hAnsi="宋体"/>
          <w:color w:val="000000" w:themeColor="text1"/>
          <w:kern w:val="2"/>
          <w:sz w:val="32"/>
          <w:szCs w:val="32"/>
          <w14:ligatures w14:val="standardContextual"/>
        </w:rPr>
      </w:pPr>
      <w:r>
        <w:rPr>
          <w:noProof/>
        </w:rPr>
        <w:drawing>
          <wp:anchor distT="0" distB="0" distL="114300" distR="114300" simplePos="0" relativeHeight="251669504" behindDoc="0" locked="0" layoutInCell="1" allowOverlap="1" wp14:anchorId="353897CA" wp14:editId="5723F487">
            <wp:simplePos x="0" y="0"/>
            <wp:positionH relativeFrom="column">
              <wp:posOffset>64135</wp:posOffset>
            </wp:positionH>
            <wp:positionV relativeFrom="paragraph">
              <wp:posOffset>4876800</wp:posOffset>
            </wp:positionV>
            <wp:extent cx="5264150" cy="2693035"/>
            <wp:effectExtent l="0" t="0" r="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64150" cy="2693035"/>
                    </a:xfrm>
                    <a:prstGeom prst="rect">
                      <a:avLst/>
                    </a:prstGeom>
                    <a:noFill/>
                    <a:ln>
                      <a:noFill/>
                    </a:ln>
                  </pic:spPr>
                </pic:pic>
              </a:graphicData>
            </a:graphic>
          </wp:anchor>
        </w:drawing>
      </w:r>
      <w:r>
        <w:rPr>
          <w:rFonts w:ascii="仿宋_GB2312" w:eastAsia="仿宋_GB2312" w:hint="eastAsia"/>
          <w:b/>
          <w:bCs/>
          <w:sz w:val="32"/>
          <w:szCs w:val="32"/>
        </w:rPr>
        <w:t>成果简介</w:t>
      </w:r>
      <w:r>
        <w:rPr>
          <w:rFonts w:ascii="仿宋_GB2312" w:eastAsia="仿宋_GB2312" w:hAnsi="宋体" w:hint="eastAsia"/>
          <w:color w:val="000000" w:themeColor="text1"/>
          <w:sz w:val="32"/>
          <w:szCs w:val="32"/>
        </w:rPr>
        <w:t>：</w:t>
      </w:r>
      <w:bookmarkStart w:id="1" w:name="_Hlk148944672"/>
      <w:r>
        <w:rPr>
          <w:rFonts w:ascii="仿宋_GB2312" w:eastAsia="仿宋_GB2312" w:hAnsi="宋体" w:hint="eastAsia"/>
          <w:color w:val="000000" w:themeColor="text1"/>
          <w:kern w:val="2"/>
          <w:sz w:val="32"/>
          <w:szCs w:val="32"/>
          <w14:ligatures w14:val="standardContextual"/>
        </w:rPr>
        <w:t>公司开发中医诊疗全院健康管理服务平台</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以中医知识文献</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医疗健康大数据和人工智能引擎为基础</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根据中医诊疗场景中健康管理服务的实际需要</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基于云计算</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大数据</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人工智能等技术</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研究患者医疗健康管理数据的整合</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智能推广及精细化管理等关键技术</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该成果应用于具有鲜明中医特色的综合性三级甲等中医医院</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集医疗、教学、科研于一体</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并依托中医院互联网医院平台进行拓展</w:t>
      </w:r>
      <w:r>
        <w:rPr>
          <w:rFonts w:ascii="仿宋_GB2312" w:eastAsia="仿宋_GB2312" w:hAnsi="宋体"/>
          <w:color w:val="000000" w:themeColor="text1"/>
          <w:kern w:val="2"/>
          <w:sz w:val="32"/>
          <w:szCs w:val="32"/>
          <w14:ligatures w14:val="standardContextual"/>
        </w:rPr>
        <w:t>，</w:t>
      </w:r>
      <w:r>
        <w:rPr>
          <w:rFonts w:ascii="仿宋_GB2312" w:eastAsia="仿宋_GB2312" w:hAnsi="宋体" w:hint="eastAsia"/>
          <w:color w:val="000000" w:themeColor="text1"/>
          <w:kern w:val="2"/>
          <w:sz w:val="32"/>
          <w:szCs w:val="32"/>
          <w14:ligatures w14:val="standardContextual"/>
        </w:rPr>
        <w:t>打造具有中医专科特色的全院健康管理平台，通过糖尿病、高血压、慢性肾病单病种，探寻中医特色的全院健康管理模式，按照全病程管理、甚至全生命周期健康管理的目标发展，为患者提供诸如健康宣教、保健指导、慢性病管理等更专业、更全面、更适宜的服务。</w:t>
      </w:r>
      <w:bookmarkEnd w:id="1"/>
    </w:p>
    <w:p w14:paraId="330AEC1D" w14:textId="77777777" w:rsidR="00BD277D" w:rsidRDefault="00BD277D">
      <w:pPr>
        <w:pStyle w:val="a7"/>
        <w:spacing w:before="0" w:beforeAutospacing="0" w:after="0" w:afterAutospacing="0" w:line="360" w:lineRule="auto"/>
        <w:jc w:val="both"/>
        <w:rPr>
          <w:rFonts w:ascii="仿宋_GB2312" w:eastAsia="仿宋_GB2312" w:hAnsi="宋体"/>
          <w:color w:val="000000" w:themeColor="text1"/>
          <w:kern w:val="2"/>
          <w:sz w:val="32"/>
          <w:szCs w:val="32"/>
          <w14:ligatures w14:val="standardContextual"/>
        </w:rPr>
      </w:pPr>
    </w:p>
    <w:p w14:paraId="4510D6C6" w14:textId="77777777" w:rsidR="00BD277D" w:rsidRDefault="00000000">
      <w:pPr>
        <w:pStyle w:val="a7"/>
        <w:spacing w:before="0" w:beforeAutospacing="0" w:after="0" w:afterAutospacing="0" w:line="360" w:lineRule="auto"/>
        <w:jc w:val="both"/>
        <w:rPr>
          <w:rFonts w:ascii="仿宋_GB2312" w:eastAsia="仿宋_GB2312" w:hAnsi="宋体"/>
          <w:color w:val="000000" w:themeColor="text1"/>
          <w:kern w:val="2"/>
          <w:sz w:val="32"/>
          <w:szCs w:val="32"/>
          <w14:ligatures w14:val="standardContextual"/>
        </w:rPr>
      </w:pPr>
      <w:r>
        <w:rPr>
          <w:rFonts w:ascii="仿宋_GB2312" w:eastAsia="仿宋_GB2312" w:hAnsi="宋体"/>
          <w:noProof/>
          <w:color w:val="000000" w:themeColor="text1"/>
          <w:kern w:val="2"/>
          <w:sz w:val="32"/>
          <w:szCs w:val="32"/>
          <w14:ligatures w14:val="standardContextual"/>
        </w:rPr>
        <w:lastRenderedPageBreak/>
        <w:drawing>
          <wp:inline distT="0" distB="0" distL="0" distR="0" wp14:anchorId="1968B836" wp14:editId="616FA8F0">
            <wp:extent cx="5274310" cy="3956685"/>
            <wp:effectExtent l="0" t="0" r="2540" b="5715"/>
            <wp:docPr id="327763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3565"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956685"/>
                    </a:xfrm>
                    <a:prstGeom prst="rect">
                      <a:avLst/>
                    </a:prstGeom>
                    <a:noFill/>
                    <a:ln>
                      <a:noFill/>
                    </a:ln>
                  </pic:spPr>
                </pic:pic>
              </a:graphicData>
            </a:graphic>
          </wp:inline>
        </w:drawing>
      </w:r>
    </w:p>
    <w:p w14:paraId="320C3349" w14:textId="77777777" w:rsidR="00BD277D" w:rsidRDefault="00BD277D">
      <w:pPr>
        <w:spacing w:line="560" w:lineRule="exact"/>
        <w:rPr>
          <w:rFonts w:ascii="方正小标宋简体" w:eastAsia="方正小标宋简体"/>
          <w:color w:val="000000"/>
          <w:spacing w:val="6"/>
          <w:sz w:val="32"/>
          <w:szCs w:val="32"/>
        </w:rPr>
      </w:pPr>
    </w:p>
    <w:p w14:paraId="19184AB1" w14:textId="77777777" w:rsidR="00BD277D" w:rsidRDefault="00000000">
      <w:pPr>
        <w:spacing w:line="560" w:lineRule="exact"/>
        <w:jc w:val="center"/>
        <w:rPr>
          <w:rFonts w:ascii="方正小标宋简体" w:eastAsia="方正小标宋简体"/>
          <w:color w:val="000000"/>
          <w:spacing w:val="6"/>
          <w:sz w:val="32"/>
          <w:szCs w:val="32"/>
        </w:rPr>
      </w:pPr>
      <w:r>
        <w:rPr>
          <w:rFonts w:ascii="方正小标宋简体" w:eastAsia="方正小标宋简体" w:hint="eastAsia"/>
          <w:color w:val="000000"/>
          <w:spacing w:val="6"/>
          <w:sz w:val="32"/>
          <w:szCs w:val="32"/>
        </w:rPr>
        <w:t>融通创新组织</w:t>
      </w:r>
    </w:p>
    <w:p w14:paraId="53F6339A" w14:textId="77777777" w:rsidR="00BD277D" w:rsidRDefault="00000000">
      <w:pPr>
        <w:spacing w:line="560" w:lineRule="exact"/>
        <w:rPr>
          <w:rFonts w:ascii="仿宋_GB2312" w:eastAsia="仿宋_GB2312" w:hAnsi="宋体" w:cs="宋体"/>
          <w:color w:val="000000" w:themeColor="text1"/>
          <w:sz w:val="32"/>
          <w:szCs w:val="32"/>
        </w:rPr>
      </w:pPr>
      <w:r>
        <w:rPr>
          <w:rFonts w:ascii="仿宋_GB2312" w:eastAsia="仿宋_GB2312" w:hint="eastAsia"/>
          <w:b/>
          <w:bCs/>
          <w:sz w:val="32"/>
          <w:szCs w:val="32"/>
        </w:rPr>
        <w:t>单位名称：</w:t>
      </w:r>
      <w:r>
        <w:rPr>
          <w:rFonts w:ascii="仿宋_GB2312" w:eastAsia="仿宋_GB2312" w:hAnsi="宋体" w:cs="宋体" w:hint="eastAsia"/>
          <w:color w:val="000000" w:themeColor="text1"/>
          <w:sz w:val="32"/>
          <w:szCs w:val="32"/>
        </w:rPr>
        <w:t>四川省中医药转化医学中心</w:t>
      </w:r>
    </w:p>
    <w:p w14:paraId="0C82D05B" w14:textId="2676CACA" w:rsidR="00BD277D" w:rsidRDefault="00000000" w:rsidP="00FC16F5">
      <w:pPr>
        <w:adjustRightInd w:val="0"/>
        <w:snapToGrid w:val="0"/>
        <w:spacing w:line="360" w:lineRule="auto"/>
        <w:rPr>
          <w:rFonts w:ascii="仿宋_GB2312" w:eastAsia="仿宋_GB2312" w:hAnsi="宋体" w:cs="宋体"/>
          <w:color w:val="000000" w:themeColor="text1"/>
          <w:sz w:val="32"/>
          <w:szCs w:val="32"/>
        </w:rPr>
      </w:pPr>
      <w:r>
        <w:rPr>
          <w:rFonts w:ascii="仿宋_GB2312" w:eastAsia="仿宋_GB2312" w:hint="eastAsia"/>
          <w:b/>
          <w:bCs/>
          <w:sz w:val="32"/>
          <w:szCs w:val="32"/>
        </w:rPr>
        <w:t>成果简介</w:t>
      </w:r>
      <w:r>
        <w:rPr>
          <w:rFonts w:ascii="仿宋_GB2312" w:eastAsia="仿宋_GB2312" w:hint="eastAsia"/>
          <w:sz w:val="32"/>
          <w:szCs w:val="32"/>
        </w:rPr>
        <w:t>：</w:t>
      </w:r>
      <w:r w:rsidR="00FC16F5" w:rsidRPr="00FC16F5">
        <w:rPr>
          <w:rFonts w:ascii="仿宋_GB2312" w:eastAsia="仿宋_GB2312" w:hAnsi="宋体" w:cs="宋体"/>
          <w:color w:val="000000" w:themeColor="text1"/>
          <w:sz w:val="32"/>
          <w:szCs w:val="32"/>
        </w:rPr>
        <w:t>四川省中医药转化医学中心于2015年6月开始筹建，2016年12月中共四川省机构编制委员会办公室正式批复成立，作为我国首个独立建制运营的中医药转化医学研究机构，中心基于国家中医药领域重大战略需求和四川省</w:t>
      </w:r>
      <w:r w:rsidR="00FC16F5" w:rsidRPr="00FC16F5">
        <w:rPr>
          <w:rFonts w:ascii="仿宋_GB2312" w:eastAsia="仿宋_GB2312" w:hAnsi="宋体" w:cs="宋体"/>
          <w:color w:val="000000" w:themeColor="text1"/>
          <w:sz w:val="32"/>
          <w:szCs w:val="32"/>
        </w:rPr>
        <w:t>“</w:t>
      </w:r>
      <w:r w:rsidR="00FC16F5" w:rsidRPr="00FC16F5">
        <w:rPr>
          <w:rFonts w:ascii="仿宋_GB2312" w:eastAsia="仿宋_GB2312" w:hAnsi="宋体" w:cs="宋体"/>
          <w:color w:val="000000" w:themeColor="text1"/>
          <w:sz w:val="32"/>
          <w:szCs w:val="32"/>
        </w:rPr>
        <w:t>中医之乡、中药之库</w:t>
      </w:r>
      <w:r w:rsidR="00FC16F5" w:rsidRPr="00FC16F5">
        <w:rPr>
          <w:rFonts w:ascii="仿宋_GB2312" w:eastAsia="仿宋_GB2312" w:hAnsi="宋体" w:cs="宋体"/>
          <w:color w:val="000000" w:themeColor="text1"/>
          <w:sz w:val="32"/>
          <w:szCs w:val="32"/>
        </w:rPr>
        <w:t>”</w:t>
      </w:r>
      <w:r w:rsidR="00FC16F5" w:rsidRPr="00FC16F5">
        <w:rPr>
          <w:rFonts w:ascii="仿宋_GB2312" w:eastAsia="仿宋_GB2312" w:hAnsi="宋体" w:cs="宋体"/>
          <w:color w:val="000000" w:themeColor="text1"/>
          <w:sz w:val="32"/>
          <w:szCs w:val="32"/>
        </w:rPr>
        <w:t>人文、资源、产业优势，创新基于生物信息学、物联网、人工智能等前沿科学技术的中医药</w:t>
      </w:r>
      <w:r w:rsidR="00FC16F5" w:rsidRPr="00FC16F5">
        <w:rPr>
          <w:rFonts w:ascii="仿宋_GB2312" w:eastAsia="仿宋_GB2312" w:hAnsi="宋体" w:cs="宋体"/>
          <w:color w:val="000000" w:themeColor="text1"/>
          <w:sz w:val="32"/>
          <w:szCs w:val="32"/>
        </w:rPr>
        <w:t>“</w:t>
      </w:r>
      <w:r w:rsidR="00FC16F5" w:rsidRPr="00FC16F5">
        <w:rPr>
          <w:rFonts w:ascii="仿宋_GB2312" w:eastAsia="仿宋_GB2312" w:hAnsi="宋体" w:cs="宋体"/>
          <w:color w:val="000000" w:themeColor="text1"/>
          <w:sz w:val="32"/>
          <w:szCs w:val="32"/>
        </w:rPr>
        <w:t>基础-临床-产业</w:t>
      </w:r>
      <w:r w:rsidR="00FC16F5" w:rsidRPr="00FC16F5">
        <w:rPr>
          <w:rFonts w:ascii="仿宋_GB2312" w:eastAsia="仿宋_GB2312" w:hAnsi="宋体" w:cs="宋体"/>
          <w:color w:val="000000" w:themeColor="text1"/>
          <w:sz w:val="32"/>
          <w:szCs w:val="32"/>
        </w:rPr>
        <w:t>”</w:t>
      </w:r>
      <w:r w:rsidR="00FC16F5" w:rsidRPr="00FC16F5">
        <w:rPr>
          <w:rFonts w:ascii="仿宋_GB2312" w:eastAsia="仿宋_GB2312" w:hAnsi="宋体" w:cs="宋体"/>
          <w:color w:val="000000" w:themeColor="text1"/>
          <w:sz w:val="32"/>
          <w:szCs w:val="32"/>
        </w:rPr>
        <w:t>相互开放、相互循环、相互转化的新型并行性研究新模式，构建面向中医药全产业链的</w:t>
      </w:r>
      <w:r w:rsidR="00FC16F5" w:rsidRPr="00FC16F5">
        <w:rPr>
          <w:rFonts w:ascii="仿宋_GB2312" w:eastAsia="仿宋_GB2312" w:hAnsi="宋体" w:cs="宋体"/>
          <w:color w:val="000000" w:themeColor="text1"/>
          <w:sz w:val="32"/>
          <w:szCs w:val="32"/>
        </w:rPr>
        <w:t>“</w:t>
      </w:r>
      <w:r w:rsidR="00FC16F5" w:rsidRPr="00FC16F5">
        <w:rPr>
          <w:rFonts w:ascii="仿宋_GB2312" w:eastAsia="仿宋_GB2312" w:hAnsi="宋体" w:cs="宋体"/>
          <w:color w:val="000000" w:themeColor="text1"/>
          <w:sz w:val="32"/>
          <w:szCs w:val="32"/>
        </w:rPr>
        <w:t>点-线-面-体</w:t>
      </w:r>
      <w:r w:rsidR="00FC16F5" w:rsidRPr="00FC16F5">
        <w:rPr>
          <w:rFonts w:ascii="仿宋_GB2312" w:eastAsia="仿宋_GB2312" w:hAnsi="宋体" w:cs="宋体"/>
          <w:color w:val="000000" w:themeColor="text1"/>
          <w:sz w:val="32"/>
          <w:szCs w:val="32"/>
        </w:rPr>
        <w:t>”</w:t>
      </w:r>
      <w:r w:rsidR="00FC16F5" w:rsidRPr="00FC16F5">
        <w:rPr>
          <w:rFonts w:ascii="仿宋_GB2312" w:eastAsia="仿宋_GB2312" w:hAnsi="宋体" w:cs="宋体"/>
          <w:color w:val="000000" w:themeColor="text1"/>
          <w:sz w:val="32"/>
          <w:szCs w:val="32"/>
        </w:rPr>
        <w:t>结合的中医药基础与临床转化公共服务</w:t>
      </w:r>
      <w:r w:rsidR="00FC16F5" w:rsidRPr="00FC16F5">
        <w:rPr>
          <w:rFonts w:ascii="仿宋_GB2312" w:eastAsia="仿宋_GB2312" w:hAnsi="宋体" w:cs="宋体"/>
          <w:color w:val="000000" w:themeColor="text1"/>
          <w:sz w:val="32"/>
          <w:szCs w:val="32"/>
        </w:rPr>
        <w:lastRenderedPageBreak/>
        <w:t>平台，助推新技术、新产品、新装备等重大科技成果临床应用转化</w:t>
      </w:r>
      <w:r w:rsidR="00FC16F5" w:rsidRPr="00FC16F5">
        <w:rPr>
          <w:rFonts w:ascii="仿宋_GB2312" w:eastAsia="仿宋_GB2312" w:hAnsi="宋体" w:cs="宋体" w:hint="eastAsia"/>
          <w:color w:val="000000" w:themeColor="text1"/>
          <w:sz w:val="32"/>
          <w:szCs w:val="32"/>
        </w:rPr>
        <w:t>。团队首创中药复方适度调节原理等新假说，推动具有中药特色的审评技术体系建立；提出“分子版治未病——中医精准医学”等新思路、新方法，从分子层面揭示“未病”客观指标，开创中医精准医学新篇章；提出并构建全新的广义中药学学术体系、中药大品种培育体系与大健康产业服务体系，以指导中药大品种培育和推进中药大健康产业发展。近年来承担国家自然科学基金、重大新药创制等各级各类科研项目近</w:t>
      </w:r>
      <w:r w:rsidR="00FC16F5" w:rsidRPr="00FC16F5">
        <w:rPr>
          <w:rFonts w:ascii="仿宋_GB2312" w:eastAsia="仿宋_GB2312" w:hAnsi="宋体" w:cs="宋体"/>
          <w:color w:val="000000" w:themeColor="text1"/>
          <w:sz w:val="32"/>
          <w:szCs w:val="32"/>
        </w:rPr>
        <w:t>100项；发表论文300余篇；主编、副主编《转化中医学-中药复方新药创制转化思路与方法》、《广义中药学导论-中药大品种与大健康产业发展思路与路径</w:t>
      </w:r>
      <w:r w:rsidR="00FC16F5" w:rsidRPr="00FC16F5">
        <w:rPr>
          <w:rFonts w:ascii="仿宋_GB2312" w:eastAsia="仿宋_GB2312" w:hAnsi="宋体" w:cs="宋体" w:hint="eastAsia"/>
          <w:color w:val="000000" w:themeColor="text1"/>
          <w:sz w:val="32"/>
          <w:szCs w:val="32"/>
        </w:rPr>
        <w:t>》等大型专著，并获世界中医药学会联合会中医药国际贡献奖</w:t>
      </w:r>
      <w:r w:rsidR="00FC16F5" w:rsidRPr="00FC16F5">
        <w:rPr>
          <w:rFonts w:ascii="仿宋_GB2312" w:eastAsia="仿宋_GB2312" w:hAnsi="宋体" w:cs="宋体"/>
          <w:color w:val="000000" w:themeColor="text1"/>
          <w:sz w:val="32"/>
          <w:szCs w:val="32"/>
        </w:rPr>
        <w:t>-著作奖一等奖等。创制转化中药新药、经典名方、中医药技术装备、膳食补充剂、护肤品、日化品等80余项；启动研发10个中医药关键技术装备；</w:t>
      </w:r>
      <w:proofErr w:type="gramStart"/>
      <w:r w:rsidR="00FC16F5" w:rsidRPr="00FC16F5">
        <w:rPr>
          <w:rFonts w:ascii="仿宋_GB2312" w:eastAsia="仿宋_GB2312" w:hAnsi="宋体" w:cs="宋体"/>
          <w:color w:val="000000" w:themeColor="text1"/>
          <w:sz w:val="32"/>
          <w:szCs w:val="32"/>
        </w:rPr>
        <w:t>获软件</w:t>
      </w:r>
      <w:proofErr w:type="gramEnd"/>
      <w:r w:rsidR="00FC16F5" w:rsidRPr="00FC16F5">
        <w:rPr>
          <w:rFonts w:ascii="仿宋_GB2312" w:eastAsia="仿宋_GB2312" w:hAnsi="宋体" w:cs="宋体"/>
          <w:color w:val="000000" w:themeColor="text1"/>
          <w:sz w:val="32"/>
          <w:szCs w:val="32"/>
        </w:rPr>
        <w:t>著作权</w:t>
      </w:r>
      <w:proofErr w:type="gramStart"/>
      <w:r w:rsidR="00FC16F5" w:rsidRPr="00FC16F5">
        <w:rPr>
          <w:rFonts w:ascii="仿宋_GB2312" w:eastAsia="仿宋_GB2312" w:hAnsi="宋体" w:cs="宋体"/>
          <w:color w:val="000000" w:themeColor="text1"/>
          <w:sz w:val="32"/>
          <w:szCs w:val="32"/>
        </w:rPr>
        <w:t>15余项</w:t>
      </w:r>
      <w:proofErr w:type="gramEnd"/>
      <w:r w:rsidR="00FC16F5" w:rsidRPr="00FC16F5">
        <w:rPr>
          <w:rFonts w:ascii="仿宋_GB2312" w:eastAsia="仿宋_GB2312" w:hAnsi="宋体" w:cs="宋体"/>
          <w:color w:val="000000" w:themeColor="text1"/>
          <w:sz w:val="32"/>
          <w:szCs w:val="32"/>
        </w:rPr>
        <w:t>，技术标准19项，培养硕士、博士、博士后100余名，相关成果获多项科技进步奖。两个品牌</w:t>
      </w:r>
      <w:proofErr w:type="spellStart"/>
      <w:r w:rsidR="00FC16F5" w:rsidRPr="00FC16F5">
        <w:rPr>
          <w:rFonts w:ascii="仿宋_GB2312" w:eastAsia="仿宋_GB2312" w:hAnsi="宋体" w:cs="宋体"/>
          <w:color w:val="000000" w:themeColor="text1"/>
          <w:sz w:val="32"/>
          <w:szCs w:val="32"/>
        </w:rPr>
        <w:t>BioTerra</w:t>
      </w:r>
      <w:proofErr w:type="spellEnd"/>
      <w:r w:rsidR="00FC16F5" w:rsidRPr="00FC16F5">
        <w:rPr>
          <w:rFonts w:ascii="仿宋_GB2312" w:eastAsia="仿宋_GB2312" w:hAnsi="宋体" w:cs="宋体"/>
          <w:color w:val="000000" w:themeColor="text1"/>
          <w:sz w:val="32"/>
          <w:szCs w:val="32"/>
        </w:rPr>
        <w:t xml:space="preserve"> Herbs和</w:t>
      </w:r>
      <w:proofErr w:type="spellStart"/>
      <w:r w:rsidR="00FC16F5" w:rsidRPr="00FC16F5">
        <w:rPr>
          <w:rFonts w:ascii="仿宋_GB2312" w:eastAsia="仿宋_GB2312" w:hAnsi="宋体" w:cs="宋体"/>
          <w:color w:val="000000" w:themeColor="text1"/>
          <w:sz w:val="32"/>
          <w:szCs w:val="32"/>
        </w:rPr>
        <w:t>Herbtheory</w:t>
      </w:r>
      <w:proofErr w:type="spellEnd"/>
      <w:r w:rsidR="00FC16F5" w:rsidRPr="00FC16F5">
        <w:rPr>
          <w:rFonts w:ascii="仿宋_GB2312" w:eastAsia="仿宋_GB2312" w:hAnsi="宋体" w:cs="宋体"/>
          <w:color w:val="000000" w:themeColor="text1"/>
          <w:sz w:val="32"/>
          <w:szCs w:val="32"/>
        </w:rPr>
        <w:t>共计30余个中药复方膳食</w:t>
      </w:r>
      <w:proofErr w:type="gramStart"/>
      <w:r w:rsidR="00FC16F5" w:rsidRPr="00FC16F5">
        <w:rPr>
          <w:rFonts w:ascii="仿宋_GB2312" w:eastAsia="仿宋_GB2312" w:hAnsi="宋体" w:cs="宋体"/>
          <w:color w:val="000000" w:themeColor="text1"/>
          <w:sz w:val="32"/>
          <w:szCs w:val="32"/>
        </w:rPr>
        <w:t>补充剂获美国</w:t>
      </w:r>
      <w:proofErr w:type="gramEnd"/>
      <w:r w:rsidR="00FC16F5" w:rsidRPr="00FC16F5">
        <w:rPr>
          <w:rFonts w:ascii="仿宋_GB2312" w:eastAsia="仿宋_GB2312" w:hAnsi="宋体" w:cs="宋体"/>
          <w:color w:val="000000" w:themeColor="text1"/>
          <w:sz w:val="32"/>
          <w:szCs w:val="32"/>
        </w:rPr>
        <w:t>FDA颁发自由销售证书并在美国主流市场成功实现销售。中心团队以科技成果入股，组建四川姜黄大健康科技有限公司、中科</w:t>
      </w:r>
      <w:proofErr w:type="gramStart"/>
      <w:r w:rsidR="00FC16F5" w:rsidRPr="00FC16F5">
        <w:rPr>
          <w:rFonts w:ascii="仿宋_GB2312" w:eastAsia="仿宋_GB2312" w:hAnsi="宋体" w:cs="宋体"/>
          <w:color w:val="000000" w:themeColor="text1"/>
          <w:sz w:val="32"/>
          <w:szCs w:val="32"/>
        </w:rPr>
        <w:t>象</w:t>
      </w:r>
      <w:proofErr w:type="gramEnd"/>
      <w:r w:rsidR="00FC16F5" w:rsidRPr="00FC16F5">
        <w:rPr>
          <w:rFonts w:ascii="仿宋_GB2312" w:eastAsia="仿宋_GB2312" w:hAnsi="宋体" w:cs="宋体"/>
          <w:color w:val="000000" w:themeColor="text1"/>
          <w:sz w:val="32"/>
          <w:szCs w:val="32"/>
        </w:rPr>
        <w:t>雄藏医智能科技（成</w:t>
      </w:r>
      <w:r w:rsidR="00FC16F5" w:rsidRPr="00FC16F5">
        <w:rPr>
          <w:rFonts w:ascii="仿宋_GB2312" w:eastAsia="仿宋_GB2312" w:hAnsi="宋体" w:cs="宋体" w:hint="eastAsia"/>
          <w:color w:val="000000" w:themeColor="text1"/>
          <w:sz w:val="32"/>
          <w:szCs w:val="32"/>
        </w:rPr>
        <w:t>都）有限公司、四川</w:t>
      </w:r>
      <w:proofErr w:type="gramStart"/>
      <w:r w:rsidR="00FC16F5" w:rsidRPr="00FC16F5">
        <w:rPr>
          <w:rFonts w:ascii="仿宋_GB2312" w:eastAsia="仿宋_GB2312" w:hAnsi="宋体" w:cs="宋体" w:hint="eastAsia"/>
          <w:color w:val="000000" w:themeColor="text1"/>
          <w:sz w:val="32"/>
          <w:szCs w:val="32"/>
        </w:rPr>
        <w:t>芸</w:t>
      </w:r>
      <w:proofErr w:type="gramEnd"/>
      <w:r w:rsidR="00FC16F5">
        <w:rPr>
          <w:rFonts w:ascii="仿宋_GB2312" w:eastAsia="仿宋_GB2312"/>
          <w:noProof/>
          <w:sz w:val="32"/>
          <w:szCs w:val="32"/>
        </w:rPr>
        <w:lastRenderedPageBreak/>
        <w:drawing>
          <wp:anchor distT="0" distB="0" distL="114300" distR="114300" simplePos="0" relativeHeight="251670528" behindDoc="0" locked="0" layoutInCell="1" allowOverlap="1" wp14:anchorId="02CE9AE4" wp14:editId="3765BE50">
            <wp:simplePos x="0" y="0"/>
            <wp:positionH relativeFrom="margin">
              <wp:align>left</wp:align>
            </wp:positionH>
            <wp:positionV relativeFrom="paragraph">
              <wp:posOffset>603692</wp:posOffset>
            </wp:positionV>
            <wp:extent cx="5274310" cy="3956050"/>
            <wp:effectExtent l="0" t="0" r="2540" b="6350"/>
            <wp:wrapTopAndBottom/>
            <wp:docPr id="17418852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85231"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anchor>
        </w:drawing>
      </w:r>
      <w:proofErr w:type="gramStart"/>
      <w:r w:rsidR="00FC16F5" w:rsidRPr="00FC16F5">
        <w:rPr>
          <w:rFonts w:ascii="仿宋_GB2312" w:eastAsia="仿宋_GB2312" w:hAnsi="宋体" w:cs="宋体" w:hint="eastAsia"/>
          <w:color w:val="000000" w:themeColor="text1"/>
          <w:sz w:val="32"/>
          <w:szCs w:val="32"/>
        </w:rPr>
        <w:t>释新医学</w:t>
      </w:r>
      <w:proofErr w:type="gramEnd"/>
      <w:r w:rsidR="00FC16F5" w:rsidRPr="00FC16F5">
        <w:rPr>
          <w:rFonts w:ascii="仿宋_GB2312" w:eastAsia="仿宋_GB2312" w:hAnsi="宋体" w:cs="宋体" w:hint="eastAsia"/>
          <w:color w:val="000000" w:themeColor="text1"/>
          <w:sz w:val="32"/>
          <w:szCs w:val="32"/>
        </w:rPr>
        <w:t>检验实验室有限公司。</w:t>
      </w:r>
      <w:r>
        <w:rPr>
          <w:rFonts w:ascii="仿宋_GB2312" w:eastAsia="仿宋_GB2312" w:hAnsi="宋体" w:cs="宋体"/>
          <w:noProof/>
          <w:color w:val="000000" w:themeColor="text1"/>
          <w:sz w:val="32"/>
          <w:szCs w:val="32"/>
        </w:rPr>
        <w:drawing>
          <wp:anchor distT="0" distB="0" distL="114300" distR="114300" simplePos="0" relativeHeight="251673600" behindDoc="0" locked="0" layoutInCell="1" allowOverlap="1" wp14:anchorId="13B0D74E" wp14:editId="73D9B360">
            <wp:simplePos x="0" y="0"/>
            <wp:positionH relativeFrom="page">
              <wp:posOffset>474980</wp:posOffset>
            </wp:positionH>
            <wp:positionV relativeFrom="paragraph">
              <wp:posOffset>4231640</wp:posOffset>
            </wp:positionV>
            <wp:extent cx="6655435" cy="1852295"/>
            <wp:effectExtent l="0" t="0" r="0" b="0"/>
            <wp:wrapTopAndBottom/>
            <wp:docPr id="1286812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12067"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655435" cy="1852295"/>
                    </a:xfrm>
                    <a:prstGeom prst="rect">
                      <a:avLst/>
                    </a:prstGeom>
                    <a:noFill/>
                    <a:ln>
                      <a:noFill/>
                    </a:ln>
                  </pic:spPr>
                </pic:pic>
              </a:graphicData>
            </a:graphic>
          </wp:anchor>
        </w:drawing>
      </w:r>
    </w:p>
    <w:p w14:paraId="117FDEF8" w14:textId="68D3F54F" w:rsidR="00BD277D" w:rsidRDefault="00000000">
      <w:pPr>
        <w:spacing w:line="560" w:lineRule="exact"/>
        <w:jc w:val="center"/>
        <w:rPr>
          <w:rFonts w:ascii="方正小标宋简体" w:eastAsia="方正小标宋简体"/>
          <w:color w:val="000000"/>
          <w:spacing w:val="6"/>
          <w:sz w:val="32"/>
          <w:szCs w:val="32"/>
        </w:rPr>
      </w:pPr>
      <w:r>
        <w:rPr>
          <w:rFonts w:ascii="方正小标宋简体" w:eastAsia="方正小标宋简体" w:hint="eastAsia"/>
          <w:color w:val="000000"/>
          <w:spacing w:val="6"/>
          <w:sz w:val="32"/>
          <w:szCs w:val="32"/>
        </w:rPr>
        <w:t>技术经理人</w:t>
      </w:r>
    </w:p>
    <w:p w14:paraId="71999480" w14:textId="06373911"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 xml:space="preserve">姓 </w:t>
      </w:r>
      <w:r>
        <w:rPr>
          <w:rFonts w:ascii="仿宋_GB2312" w:eastAsia="仿宋_GB2312"/>
          <w:b/>
          <w:bCs/>
          <w:color w:val="000000"/>
          <w:spacing w:val="6"/>
          <w:sz w:val="32"/>
          <w:szCs w:val="32"/>
        </w:rPr>
        <w:t xml:space="preserve">   </w:t>
      </w:r>
      <w:r>
        <w:rPr>
          <w:rFonts w:ascii="仿宋_GB2312" w:eastAsia="仿宋_GB2312" w:hint="eastAsia"/>
          <w:b/>
          <w:bCs/>
          <w:color w:val="000000"/>
          <w:spacing w:val="6"/>
          <w:sz w:val="32"/>
          <w:szCs w:val="32"/>
        </w:rPr>
        <w:t>名：</w:t>
      </w:r>
      <w:r>
        <w:rPr>
          <w:rFonts w:ascii="仿宋_GB2312" w:eastAsia="仿宋_GB2312" w:hint="eastAsia"/>
          <w:color w:val="000000"/>
          <w:spacing w:val="6"/>
          <w:sz w:val="32"/>
          <w:szCs w:val="32"/>
        </w:rPr>
        <w:t>路遥</w:t>
      </w:r>
    </w:p>
    <w:p w14:paraId="2BE2EC7C" w14:textId="77777777" w:rsidR="00BD277D" w:rsidRDefault="00000000">
      <w:pPr>
        <w:spacing w:line="560" w:lineRule="exact"/>
        <w:rPr>
          <w:rFonts w:ascii="仿宋_GB2312" w:eastAsia="仿宋_GB2312"/>
          <w:color w:val="000000"/>
          <w:spacing w:val="6"/>
          <w:sz w:val="32"/>
          <w:szCs w:val="32"/>
        </w:rPr>
      </w:pPr>
      <w:r>
        <w:rPr>
          <w:rFonts w:ascii="仿宋_GB2312" w:eastAsia="仿宋_GB2312" w:hint="eastAsia"/>
          <w:b/>
          <w:bCs/>
          <w:color w:val="000000"/>
          <w:spacing w:val="6"/>
          <w:sz w:val="32"/>
          <w:szCs w:val="32"/>
        </w:rPr>
        <w:t>工作单位：</w:t>
      </w:r>
      <w:r>
        <w:rPr>
          <w:rFonts w:ascii="仿宋_GB2312" w:eastAsia="仿宋_GB2312" w:hint="eastAsia"/>
          <w:color w:val="000000"/>
          <w:spacing w:val="6"/>
          <w:sz w:val="32"/>
          <w:szCs w:val="32"/>
        </w:rPr>
        <w:t>北京中医药大学东方医院</w:t>
      </w:r>
    </w:p>
    <w:p w14:paraId="3B971FCC" w14:textId="77777777" w:rsidR="00BD277D" w:rsidRDefault="00000000">
      <w:pPr>
        <w:spacing w:line="560" w:lineRule="exact"/>
        <w:rPr>
          <w:rFonts w:ascii="仿宋_GB2312" w:eastAsia="仿宋_GB2312"/>
          <w:sz w:val="32"/>
          <w:szCs w:val="32"/>
        </w:rPr>
      </w:pPr>
      <w:r>
        <w:rPr>
          <w:rFonts w:ascii="仿宋_GB2312" w:eastAsia="仿宋_GB2312" w:hint="eastAsia"/>
          <w:b/>
          <w:bCs/>
          <w:color w:val="000000"/>
          <w:spacing w:val="6"/>
          <w:sz w:val="32"/>
          <w:szCs w:val="32"/>
        </w:rPr>
        <w:t>成果简介：</w:t>
      </w:r>
      <w:bookmarkStart w:id="2" w:name="_Hlk148944715"/>
      <w:r>
        <w:rPr>
          <w:rFonts w:ascii="仿宋_GB2312" w:eastAsia="仿宋_GB2312" w:hint="eastAsia"/>
          <w:color w:val="000000"/>
          <w:spacing w:val="6"/>
          <w:sz w:val="32"/>
          <w:szCs w:val="32"/>
        </w:rPr>
        <w:t>作为转化医学中心主任，起草北京中医药大学东方医院专利管理及成果转化制度，协助获得职务专利授权</w:t>
      </w:r>
      <w:r>
        <w:rPr>
          <w:rFonts w:ascii="仿宋_GB2312" w:eastAsia="仿宋_GB2312"/>
          <w:color w:val="000000"/>
          <w:spacing w:val="6"/>
          <w:sz w:val="32"/>
          <w:szCs w:val="32"/>
        </w:rPr>
        <w:t>50余项，协助获</w:t>
      </w:r>
      <w:proofErr w:type="gramStart"/>
      <w:r>
        <w:rPr>
          <w:rFonts w:ascii="仿宋_GB2312" w:eastAsia="仿宋_GB2312"/>
          <w:color w:val="000000"/>
          <w:spacing w:val="6"/>
          <w:sz w:val="32"/>
          <w:szCs w:val="32"/>
        </w:rPr>
        <w:t>批科技</w:t>
      </w:r>
      <w:proofErr w:type="gramEnd"/>
      <w:r>
        <w:rPr>
          <w:rFonts w:ascii="仿宋_GB2312" w:eastAsia="仿宋_GB2312"/>
          <w:color w:val="000000"/>
          <w:spacing w:val="6"/>
          <w:sz w:val="32"/>
          <w:szCs w:val="32"/>
        </w:rPr>
        <w:t>部</w:t>
      </w:r>
      <w:r>
        <w:rPr>
          <w:rFonts w:ascii="仿宋_GB2312" w:eastAsia="仿宋_GB2312"/>
          <w:color w:val="000000"/>
          <w:spacing w:val="6"/>
          <w:sz w:val="32"/>
          <w:szCs w:val="32"/>
        </w:rPr>
        <w:t>“</w:t>
      </w:r>
      <w:r>
        <w:rPr>
          <w:rFonts w:ascii="仿宋_GB2312" w:eastAsia="仿宋_GB2312"/>
          <w:color w:val="000000"/>
          <w:spacing w:val="6"/>
          <w:sz w:val="32"/>
          <w:szCs w:val="32"/>
        </w:rPr>
        <w:t>重大新药创制</w:t>
      </w:r>
      <w:r>
        <w:rPr>
          <w:rFonts w:ascii="仿宋_GB2312" w:eastAsia="仿宋_GB2312"/>
          <w:color w:val="000000"/>
          <w:spacing w:val="6"/>
          <w:sz w:val="32"/>
          <w:szCs w:val="32"/>
        </w:rPr>
        <w:t>”</w:t>
      </w:r>
      <w:r>
        <w:rPr>
          <w:rFonts w:ascii="仿宋_GB2312" w:eastAsia="仿宋_GB2312"/>
          <w:color w:val="000000"/>
          <w:spacing w:val="6"/>
          <w:sz w:val="32"/>
          <w:szCs w:val="32"/>
        </w:rPr>
        <w:t>、北京市科委</w:t>
      </w:r>
      <w:r>
        <w:rPr>
          <w:rFonts w:ascii="仿宋_GB2312" w:eastAsia="仿宋_GB2312"/>
          <w:color w:val="000000"/>
          <w:spacing w:val="6"/>
          <w:sz w:val="32"/>
          <w:szCs w:val="32"/>
        </w:rPr>
        <w:t>“</w:t>
      </w:r>
      <w:r>
        <w:rPr>
          <w:rFonts w:ascii="仿宋_GB2312" w:eastAsia="仿宋_GB2312"/>
          <w:color w:val="000000"/>
          <w:spacing w:val="6"/>
          <w:sz w:val="32"/>
          <w:szCs w:val="32"/>
        </w:rPr>
        <w:t>十病十药</w:t>
      </w:r>
      <w:r>
        <w:rPr>
          <w:rFonts w:ascii="仿宋_GB2312" w:eastAsia="仿宋_GB2312"/>
          <w:color w:val="000000"/>
          <w:spacing w:val="6"/>
          <w:sz w:val="32"/>
          <w:szCs w:val="32"/>
        </w:rPr>
        <w:t>”</w:t>
      </w:r>
      <w:r>
        <w:rPr>
          <w:rFonts w:ascii="仿宋_GB2312" w:eastAsia="仿宋_GB2312"/>
          <w:color w:val="000000"/>
          <w:spacing w:val="6"/>
          <w:sz w:val="32"/>
          <w:szCs w:val="32"/>
        </w:rPr>
        <w:lastRenderedPageBreak/>
        <w:t>等科技研发项目近20项，获</w:t>
      </w:r>
      <w:proofErr w:type="gramStart"/>
      <w:r>
        <w:rPr>
          <w:rFonts w:ascii="仿宋_GB2312" w:eastAsia="仿宋_GB2312"/>
          <w:color w:val="000000"/>
          <w:spacing w:val="6"/>
          <w:sz w:val="32"/>
          <w:szCs w:val="32"/>
        </w:rPr>
        <w:t>批医疗</w:t>
      </w:r>
      <w:proofErr w:type="gramEnd"/>
      <w:r>
        <w:rPr>
          <w:rFonts w:ascii="仿宋_GB2312" w:eastAsia="仿宋_GB2312"/>
          <w:color w:val="000000"/>
          <w:spacing w:val="6"/>
          <w:sz w:val="32"/>
          <w:szCs w:val="32"/>
        </w:rPr>
        <w:t>机构中药制剂5项，成功转化科技成果9项，承接新药/器械临床试验、上市后再评价等药物研发项目数百项。牵头国家药监局委托事项《基于临床经验方-医疗机构制剂-中药新药研发模式的策略研究》课题研究工作，完成《制约医疗机构制剂向中药创新药转化过程中临床关键问题分析及对策》调研报告1篇，发表《浅析</w:t>
      </w:r>
      <w:r>
        <w:rPr>
          <w:rFonts w:ascii="仿宋_GB2312" w:eastAsia="仿宋_GB2312"/>
          <w:color w:val="000000"/>
          <w:spacing w:val="6"/>
          <w:sz w:val="32"/>
          <w:szCs w:val="32"/>
        </w:rPr>
        <w:t>“</w:t>
      </w:r>
      <w:r>
        <w:rPr>
          <w:rFonts w:ascii="仿宋_GB2312" w:eastAsia="仿宋_GB2312"/>
          <w:color w:val="000000"/>
          <w:spacing w:val="6"/>
          <w:sz w:val="32"/>
          <w:szCs w:val="32"/>
        </w:rPr>
        <w:t>三结合</w:t>
      </w:r>
      <w:r>
        <w:rPr>
          <w:rFonts w:ascii="仿宋_GB2312" w:eastAsia="仿宋_GB2312"/>
          <w:color w:val="000000"/>
          <w:spacing w:val="6"/>
          <w:sz w:val="32"/>
          <w:szCs w:val="32"/>
        </w:rPr>
        <w:t>”</w:t>
      </w:r>
      <w:r>
        <w:rPr>
          <w:rFonts w:ascii="仿宋_GB2312" w:eastAsia="仿宋_GB2312"/>
          <w:color w:val="000000"/>
          <w:spacing w:val="6"/>
          <w:sz w:val="32"/>
          <w:szCs w:val="32"/>
        </w:rPr>
        <w:t>审评证据体系对中药</w:t>
      </w:r>
      <w:r>
        <w:rPr>
          <w:rFonts w:ascii="仿宋_GB2312" w:eastAsia="仿宋_GB2312" w:hint="eastAsia"/>
          <w:color w:val="000000"/>
          <w:spacing w:val="6"/>
          <w:sz w:val="32"/>
          <w:szCs w:val="32"/>
        </w:rPr>
        <w:t>新药转化的作用》、《试论医疗机构中药制剂全生命周期管理》、《医疗机构制剂向中药创新药转化过程中临床关键问题思考》等研发相关论文</w:t>
      </w:r>
      <w:r>
        <w:rPr>
          <w:rFonts w:ascii="仿宋_GB2312" w:eastAsia="仿宋_GB2312"/>
          <w:color w:val="000000"/>
          <w:spacing w:val="6"/>
          <w:sz w:val="32"/>
          <w:szCs w:val="32"/>
        </w:rPr>
        <w:t>5篇，并受邀在DIA临床试验创新论坛上进行主题报告。作为国家药监局中药</w:t>
      </w:r>
      <w:proofErr w:type="gramStart"/>
      <w:r>
        <w:rPr>
          <w:rFonts w:ascii="仿宋_GB2312" w:eastAsia="仿宋_GB2312"/>
          <w:color w:val="000000"/>
          <w:spacing w:val="6"/>
          <w:sz w:val="32"/>
          <w:szCs w:val="32"/>
        </w:rPr>
        <w:t>审评审批</w:t>
      </w:r>
      <w:proofErr w:type="gramEnd"/>
      <w:r>
        <w:rPr>
          <w:rFonts w:ascii="仿宋_GB2312" w:eastAsia="仿宋_GB2312"/>
          <w:color w:val="000000"/>
          <w:spacing w:val="6"/>
          <w:sz w:val="32"/>
          <w:szCs w:val="32"/>
        </w:rPr>
        <w:t>改革专班首届成员，坚持以改革政策引导医疗机构的研发实践，建立起基于</w:t>
      </w:r>
      <w:r>
        <w:rPr>
          <w:rFonts w:ascii="仿宋_GB2312" w:eastAsia="仿宋_GB2312"/>
          <w:color w:val="000000"/>
          <w:spacing w:val="6"/>
          <w:sz w:val="32"/>
          <w:szCs w:val="32"/>
        </w:rPr>
        <w:t>“</w:t>
      </w:r>
      <w:r>
        <w:rPr>
          <w:rFonts w:ascii="仿宋_GB2312" w:eastAsia="仿宋_GB2312"/>
          <w:color w:val="000000"/>
          <w:spacing w:val="6"/>
          <w:sz w:val="32"/>
          <w:szCs w:val="32"/>
        </w:rPr>
        <w:t>三结合</w:t>
      </w:r>
      <w:r>
        <w:rPr>
          <w:rFonts w:ascii="仿宋_GB2312" w:eastAsia="仿宋_GB2312"/>
          <w:color w:val="000000"/>
          <w:spacing w:val="6"/>
          <w:sz w:val="32"/>
          <w:szCs w:val="32"/>
        </w:rPr>
        <w:t>”</w:t>
      </w:r>
      <w:r>
        <w:rPr>
          <w:rFonts w:ascii="仿宋_GB2312" w:eastAsia="仿宋_GB2312"/>
          <w:color w:val="000000"/>
          <w:spacing w:val="6"/>
          <w:sz w:val="32"/>
          <w:szCs w:val="32"/>
        </w:rPr>
        <w:t>的中药新药研发及管理模式，转化项目及经费逐年增加，近三年已完成4个中药复方制剂品种的技术评估及转移转化工作，技术交易额达4600余万元。</w:t>
      </w:r>
    </w:p>
    <w:bookmarkEnd w:id="2"/>
    <w:p w14:paraId="2FABAB47" w14:textId="77777777" w:rsidR="00BD277D" w:rsidRDefault="00BD277D">
      <w:pPr>
        <w:spacing w:line="600" w:lineRule="exact"/>
        <w:jc w:val="center"/>
        <w:rPr>
          <w:rFonts w:ascii="方正小标宋简体" w:eastAsia="方正小标宋简体"/>
          <w:bCs/>
          <w:sz w:val="44"/>
          <w:szCs w:val="44"/>
        </w:rPr>
      </w:pPr>
    </w:p>
    <w:p w14:paraId="67D69849" w14:textId="77777777" w:rsidR="00BD277D" w:rsidRDefault="00000000">
      <w:pPr>
        <w:spacing w:line="600" w:lineRule="exact"/>
        <w:jc w:val="center"/>
        <w:rPr>
          <w:rFonts w:ascii="方正小标宋简体" w:eastAsia="方正小标宋简体"/>
          <w:bCs/>
          <w:sz w:val="44"/>
          <w:szCs w:val="44"/>
        </w:rPr>
      </w:pPr>
      <w:r>
        <w:rPr>
          <w:rFonts w:ascii="方正小标宋简体" w:eastAsia="方正小标宋简体"/>
          <w:bCs/>
          <w:noProof/>
          <w:sz w:val="44"/>
          <w:szCs w:val="44"/>
        </w:rPr>
        <w:lastRenderedPageBreak/>
        <w:drawing>
          <wp:anchor distT="0" distB="0" distL="114300" distR="114300" simplePos="0" relativeHeight="251665408" behindDoc="0" locked="0" layoutInCell="1" allowOverlap="1" wp14:anchorId="0EF40BED" wp14:editId="437A4BEE">
            <wp:simplePos x="0" y="0"/>
            <wp:positionH relativeFrom="column">
              <wp:posOffset>-85725</wp:posOffset>
            </wp:positionH>
            <wp:positionV relativeFrom="paragraph">
              <wp:posOffset>5335905</wp:posOffset>
            </wp:positionV>
            <wp:extent cx="5274310" cy="3517265"/>
            <wp:effectExtent l="0" t="0" r="2540" b="6985"/>
            <wp:wrapTopAndBottom/>
            <wp:docPr id="21326532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53276"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517265"/>
                    </a:xfrm>
                    <a:prstGeom prst="rect">
                      <a:avLst/>
                    </a:prstGeom>
                    <a:noFill/>
                    <a:ln>
                      <a:noFill/>
                    </a:ln>
                  </pic:spPr>
                </pic:pic>
              </a:graphicData>
            </a:graphic>
          </wp:anchor>
        </w:drawing>
      </w:r>
      <w:r>
        <w:rPr>
          <w:rFonts w:ascii="方正小标宋简体" w:eastAsia="方正小标宋简体"/>
          <w:bCs/>
          <w:sz w:val="44"/>
          <w:szCs w:val="44"/>
        </w:rPr>
        <w:t xml:space="preserve"> </w:t>
      </w:r>
      <w:r>
        <w:rPr>
          <w:rFonts w:ascii="方正小标宋简体" w:eastAsia="方正小标宋简体"/>
          <w:bCs/>
          <w:noProof/>
          <w:sz w:val="44"/>
          <w:szCs w:val="44"/>
        </w:rPr>
        <w:drawing>
          <wp:anchor distT="0" distB="0" distL="114300" distR="114300" simplePos="0" relativeHeight="251664384" behindDoc="0" locked="0" layoutInCell="1" allowOverlap="1" wp14:anchorId="45BFB237" wp14:editId="6624D021">
            <wp:simplePos x="0" y="0"/>
            <wp:positionH relativeFrom="column">
              <wp:posOffset>-38100</wp:posOffset>
            </wp:positionH>
            <wp:positionV relativeFrom="paragraph">
              <wp:posOffset>363855</wp:posOffset>
            </wp:positionV>
            <wp:extent cx="3829050" cy="4724400"/>
            <wp:effectExtent l="0" t="0" r="0" b="0"/>
            <wp:wrapTopAndBottom/>
            <wp:docPr id="4719131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13173"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29050" cy="4724400"/>
                    </a:xfrm>
                    <a:prstGeom prst="rect">
                      <a:avLst/>
                    </a:prstGeom>
                    <a:noFill/>
                    <a:ln>
                      <a:noFill/>
                    </a:ln>
                  </pic:spPr>
                </pic:pic>
              </a:graphicData>
            </a:graphic>
          </wp:anchor>
        </w:drawing>
      </w:r>
    </w:p>
    <w:sectPr w:rsidR="00BD277D">
      <w:pgSz w:w="11906" w:h="16838"/>
      <w:pgMar w:top="1701" w:right="1531" w:bottom="1701" w:left="153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embedRegular r:id="rId1" w:subsetted="1" w:fontKey="{4D9F9277-F69A-460F-9E5D-E270E2DD4C9C}"/>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2" w:subsetted="1" w:fontKey="{5C4949F7-13B2-45F5-8FB5-D09382C1FF12}"/>
    <w:embedBold r:id="rId3" w:subsetted="1" w:fontKey="{F6037092-8839-41A1-BA3E-74D6FBB29E1B}"/>
    <w:embedItalic r:id="rId4" w:subsetted="1" w:fontKey="{305E9E55-132B-43FF-88F4-E3552096AC6C}"/>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JkOWFkYjI0NGUzMzAwMWQ1YjUwNjVhNjc5ZmQ5MjMifQ=="/>
  </w:docVars>
  <w:rsids>
    <w:rsidRoot w:val="00B6217D"/>
    <w:rsid w:val="0007072F"/>
    <w:rsid w:val="001560EA"/>
    <w:rsid w:val="0020519D"/>
    <w:rsid w:val="003232FB"/>
    <w:rsid w:val="003F1F5B"/>
    <w:rsid w:val="0067619C"/>
    <w:rsid w:val="0081004E"/>
    <w:rsid w:val="008574F9"/>
    <w:rsid w:val="00910A80"/>
    <w:rsid w:val="00926293"/>
    <w:rsid w:val="009C3C2F"/>
    <w:rsid w:val="009D635F"/>
    <w:rsid w:val="00A42782"/>
    <w:rsid w:val="00A76E11"/>
    <w:rsid w:val="00B2014C"/>
    <w:rsid w:val="00B6217D"/>
    <w:rsid w:val="00BD277D"/>
    <w:rsid w:val="00CB78AA"/>
    <w:rsid w:val="00FC16F5"/>
    <w:rsid w:val="00FD03F3"/>
    <w:rsid w:val="2AAE15BA"/>
    <w:rsid w:val="2B1C05B4"/>
    <w:rsid w:val="4AC34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7FFC5E0"/>
  <w15:docId w15:val="{A4AF6854-4646-4EAC-9A87-EAC8BEFA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cs="宋体"/>
      <w:kern w:val="0"/>
      <w:szCs w:val="24"/>
      <w14:ligatures w14:val="non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640</Words>
  <Characters>3649</Characters>
  <Application>Microsoft Office Word</Application>
  <DocSecurity>0</DocSecurity>
  <Lines>30</Lines>
  <Paragraphs>8</Paragraphs>
  <ScaleCrop>false</ScaleCrop>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郭继华</dc:creator>
  <cp:lastModifiedBy>郭继华</cp:lastModifiedBy>
  <cp:revision>3</cp:revision>
  <dcterms:created xsi:type="dcterms:W3CDTF">2023-11-01T03:32:00Z</dcterms:created>
  <dcterms:modified xsi:type="dcterms:W3CDTF">2023-11-01T03:33:00Z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ABE18BA1AF4E49239850329B403B0FC7_12</vt:lpwstr>
  </property>
</Properties>
</file>